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200"/>
      </w:pPr>
      <w:r>
        <w:rPr>
          <w:rFonts w:ascii="Arial" w:hAnsi="Arial"/>
          <w:b/>
          <w:i w:val="0"/>
          <w:color w:val="1F2937"/>
          <w:sz w:val="48"/>
        </w:rPr>
        <w:t>VLMS Project Charter</w:t>
      </w:r>
    </w:p>
    <w:p>
      <w:pPr>
        <w:spacing w:after="40" w:before="0"/>
      </w:pPr>
      <w:r>
        <w:rPr>
          <w:rFonts w:ascii="Arial" w:hAnsi="Arial"/>
          <w:b w:val="0"/>
          <w:i w:val="0"/>
          <w:color w:val="374151"/>
          <w:sz w:val="24"/>
        </w:rPr>
        <w:t>Varangians LMS — Design Gate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7D7D9"/>
          <w:left w:val="single" w:sz="4" w:color="C7D7D9"/>
          <w:bottom w:val="single" w:sz="4" w:color="C7D7D9"/>
          <w:right w:val="single" w:sz="4" w:color="C7D7D9"/>
          <w:insideH w:val="single" w:sz="4" w:color="C7D7D9"/>
          <w:insideV w:val="single" w:sz="4" w:color="C7D7D9"/>
        </w:tblBorders>
      </w:tblPr>
      <w:tblGrid>
        <w:gridCol w:w="4513"/>
        <w:gridCol w:w="4513"/>
      </w:tblGrid>
      <w:tr>
        <w:tc>
          <w:tcPr>
            <w:tcW w:type="dxa" w:w="24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Field</w:t>
            </w:r>
          </w:p>
        </w:tc>
        <w:tc>
          <w:tcPr>
            <w:tcW w:type="dxa" w:w="6626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Document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VLMS Project Charter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Document code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VLMS-CHTR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Version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1.1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Status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Design gate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Date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17 July 2026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Author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Reviewers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 (sole reviewer / approver)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Approver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[TBC]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Scope / phase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Design gate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Related documents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problem-statement.md, stakeholders.md, delivery-plan.md</w:t>
            </w:r>
          </w:p>
        </w:tc>
      </w:tr>
    </w:tbl>
    <w:p>
      <w:pPr>
        <w:spacing w:after="80"/>
      </w:pPr>
    </w:p>
    <w:p>
      <w:pPr>
        <w:keepNext/>
        <w:spacing w:before="200" w:after="80"/>
        <w:outlineLvl w:val="1"/>
      </w:pPr>
      <w:r>
        <w:rPr>
          <w:rFonts w:ascii="Arial" w:hAnsi="Arial"/>
          <w:b/>
          <w:color w:val="1F2937"/>
          <w:sz w:val="26"/>
        </w:rPr>
        <w:t>Change History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7D7D9"/>
          <w:left w:val="single" w:sz="4" w:color="C7D7D9"/>
          <w:bottom w:val="single" w:sz="4" w:color="C7D7D9"/>
          <w:right w:val="single" w:sz="4" w:color="C7D7D9"/>
          <w:insideH w:val="single" w:sz="4" w:color="C7D7D9"/>
          <w:insideV w:val="single" w:sz="4" w:color="C7D7D9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115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Version</w:t>
            </w:r>
          </w:p>
        </w:tc>
        <w:tc>
          <w:tcPr>
            <w:tcW w:type="dxa" w:w="15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Date</w:t>
            </w:r>
          </w:p>
        </w:tc>
        <w:tc>
          <w:tcPr>
            <w:tcW w:type="dxa" w:w="27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Author</w:t>
            </w:r>
          </w:p>
        </w:tc>
        <w:tc>
          <w:tcPr>
            <w:tcW w:type="dxa" w:w="3676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Summary</w:t>
            </w:r>
          </w:p>
        </w:tc>
      </w:tr>
      <w:tr>
        <w:tc>
          <w:tcPr>
            <w:tcW w:type="dxa" w:w="115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5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17 July 2026</w:t>
            </w:r>
          </w:p>
        </w:tc>
        <w:tc>
          <w:tcPr>
            <w:tcW w:type="dxa" w:w="27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</w:t>
            </w:r>
          </w:p>
        </w:tc>
        <w:tc>
          <w:tcPr>
            <w:tcW w:type="dxa" w:w="367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Initial design gate release, rendered from docs/ working markdown.</w:t>
            </w:r>
          </w:p>
        </w:tc>
      </w:tr>
      <w:tr>
        <w:tc>
          <w:tcPr>
            <w:tcW w:type="dxa" w:w="115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15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17 July 2026</w:t>
            </w:r>
          </w:p>
        </w:tc>
        <w:tc>
          <w:tcPr>
            <w:tcW w:type="dxa" w:w="27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</w:t>
            </w:r>
          </w:p>
        </w:tc>
        <w:tc>
          <w:tcPr>
            <w:tcW w:type="dxa" w:w="367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Re-render addressing second design-gate review: section 6 cross-references the ADR-0004 rewrite (sensitive-data entity split, not per-column masking); section 7 replaced with the now-populated delivery-plan.md (previously a placeholder); section 9 risk R-001 updated for the corrected access-control mechanism.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Contents</w:t>
      </w:r>
    </w:p>
    <w:p>
      <w:fldSimple w:instr="TOC \o &quot;1-2&quot; \h \z \u">
        <w:r>
          <w:t>Right-click and choose "Update Field" to build the contents.</w:t>
        </w:r>
      </w:fldSimple>
    </w:p>
    <w:p>
      <w:r>
        <w:br w:type="page"/>
      </w:r>
    </w:p>
    <w:p>
      <w:pPr>
        <w:spacing w:after="120" w:before="0"/>
      </w:pPr>
      <w:r>
        <w:rPr>
          <w:rFonts w:ascii="Arial" w:hAnsi="Arial"/>
          <w:b w:val="0"/>
          <w:i/>
          <w:sz w:val="22"/>
        </w:rPr>
        <w:t>Satisfies: ISO 21502:2020 (project management guidance); PRINCE2 7 business-case and stage-boundary practice.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1. Vision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A fresh .NET rebuild of the Varangians programme's lesson/rank tracking, curriculum management and safeguarding/consent administration, replacing informal spreadsheet-based tracking. This is a rebuild of a previously abandoned Power Platform (SharePoint/Power Apps/Dataverse/Power Automate/Asana) implementation of the same programme; only the underlying business requirements are carried forward, not the prior tooling or design decisions.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[TBC – owner: Philip] A single-line project description (problem-statement.md 'One-line description') has not yet been agreed.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2. Objectives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Progress tracking — reliable, current tracking of each student's lesson completions and rank progression, replacing out-of-date spreadsheets.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Curriculum management process — a repeatable process to periodically review lessons, propose changes, and make incremental improvements over time.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Parent engagement — keep parents informed of their child's progress.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At-home learning — encourage learning/reinforcement outside of formal sessions (deferred — not MVP; business-requirements.md).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3. Business justification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Current state: progress tracking and records are kept in spreadsheets that go out of date; no structured curriculum review/change process; no structured parent communication channel; no mechanism to encourage at-home learning (problem-statement.md).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[TBC – owner: Philip] Cost of doing nothing is not formally captured; implicit from the drivers above (spreadsheets stay out of date, no structured curriculum improvement process, parents stay uninformed).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Desired future state (deliberately modest): the spreadsheet is retired, and safeguarding/consent and progress data is reliably tracked in the system without incident. No specific engagement KPI (e.g. parent login frequency) is being set at this stage.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4. Scope summary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Must have (MVP): progress tracking (lesson completions, rank progression); curriculum management process (propose/approve, distinct Teacher/Approver roles); safeguarding/consent/DBS tracking (confirmed MVP addition — a hard requirement, not a nice-to-have), now including the corrected access-control model (ADR-0004).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Deferred (not MVP): at-home learning encouragement (resources/assignments between formal sessions).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5. Governance and stakeholders (roles, decision rights)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Sponsor, owner, sole developer and sole decision-maker/reviewer for requirements and sign-off: Philip. No other party has a formal say in requirements or sign-off. This is distinct from the system's user base, which is multi-role.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Scale: small — tens of users per role, at launch and expected over ~2 years (stakeholders.md). Approver and Safeguarding Officer are already held by named individuals distinct from Philip — genuinely separate roles in practice today, not future-delegation placeholders.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[TBC – owner: Philip] Frequency of use and device context per persona has not yet been captured.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6. High-level approach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Fresh .NET implementation: Blazor Web App + Azure App Service (Linux) + Azure SQL Database + Microsoft Entra External ID + Azure Blob Storage + Azure Communication Services Email + QuestPDF (adr/0001-technology-stack.md). See VLMS-SDA and VLMS-ADR for full rationale, including role modelling (ADR-0002), scheduled/background work (ADR-0003), and sensitive-data access control (ADR-0004). ADR-0004 was rewritten at a second design-review pass: the original per-column masking mechanism was found to be technically impossible (an EF Core global query filter can only include or exclude a whole row, not redact individual columns), so the sensitive consent fields were split into a separate ConsentSensitiveDetails entity and restricted with the same whole-entity filter pattern already used correctly for DbsCheck.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7. Indicative phases and milestones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delivery-plan.md is now populated (previously a placeholder). Four phases, light-touch and proportionate to a solo-delivered project (ISO 21502:2020 stage-boundary guidance applied informally):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Discovery &amp; design (complete) — requirements, ADR-0001-0004, data/low-level design; this design gate.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Build (MVP) — implementation via loop-harness maker/checker cycles against STATE.md, not a fixed Gantt schedule. Scope: curriculum management, progress tracking, safeguarding/consent/DBS management including the corrected access-control model (ADR-0004), parent dashboard + notifications, core reporting + at-risk flagging.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Delivery gate — full test results, RTM completion, security/DPIA sign-off (raid.md D-003), operations readiness (to be scoped at that gate).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Deferred (post-MVP): at-home learning encouragement.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8. Success criteria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Deliberately modest at this stage: the spreadsheet is retired, and safeguarding/consent and progress data is reliably tracked without incident. No specific engagement KPI is set.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9. High-level risks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R-001: special-category/children's data (safeguarding, medical, consent, DBS) is managed in-system — a data-protection failure has real safeguarding consequences, not just reputational cost. Mitigated by the ConsentRecord/ConsentSensitiveDetails entity split with structural whole-entity access control and a named, tamper-protected read-audit mechanism (ADR-0004, revised at second design review), and verified guardian-linking (design/data-design.md).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R-002: solo developer/maintainer — no delivery redundancy; bus-factor risk for ongoing operation and support.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10. Gate/decision structure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Two gates: design gate (this package — go/no-go to build) and delivery gate (go/no-go to release), per the organisation's two-layer documentation standard. Philip is sole approver at both gates.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560" w:footer="5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26" w:val="right"/>
      </w:tabs>
    </w:pPr>
    <w:r>
      <w:rPr>
        <w:rFonts w:ascii="Arial" w:hAnsi="Arial"/>
        <w:color w:val="6B7280"/>
        <w:sz w:val="16"/>
      </w:rPr>
      <w:t>VLMS Project Charter</w:t>
      <w:tab/>
    </w:r>
    <w:r>
      <w:rPr>
        <w:rFonts w:ascii="Arial" w:hAnsi="Arial"/>
        <w:color w:val="6B7280"/>
        <w:sz w:val="16"/>
      </w:rPr>
      <w:t xml:space="preserve">Page </w:t>
    </w:r>
    <w:r>
      <w:rPr>
        <w:rFonts w:ascii="Arial" w:hAnsi="Arial"/>
        <w:color w:val="6B7280"/>
        <w:sz w:val="16"/>
      </w:rP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20202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