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Delivery Plan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Delivery Plan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VLMS-DEL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delivery-plan.md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Re-render: dependencies section updated to match the corrected governance/raid.md (D-001/D-002 now decided per ADR-0001, not open).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Re-render: delivery-plan.md is now populated (previously a placeholder, Status: not yet started). Full re-render of phases, delivery approach, and delivery-gate exit criteria, including D-003 (DPIA screening) and the OWASP ASVS 5.0 conformance check against the corrected access-control model (ADR-0004).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Satisfies: ISO 21502:2020; PMBOK Guide 8th edition.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Status: initial (design gate) — light-touch, proportionate to a solo-delivered project (ISO 21502:2020 stage-boundary guidance applied informally, not as full PRINCE2/PMBOK machinery).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Phases and milestones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Discovery &amp; design (complete) — requirements, ADR-0001-0004, data/low-level design; this design gate.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Build (MVP) — implementation via loop-harness maker/checker cycles against STATE.md, not a fixed Gantt schedule (solo delivery, no hard deadline — requirements/constraints.md). Scope: curriculum management (propose/approve/resubmit), progress tracking (completion, auto-promotion, certificates, badges), safeguarding/consent/DBS management including the corrected access-control model (ADR-0004), parent dashboard + notifications, core reporting + at-risk flagging.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Delivery gate — full test results, RTM completion, security/DPIA sign-off (raid.md D-003), operations readiness (runbook, monitoring — to be scoped at that gate, not over-specified now).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Deferred (post-MVP): at-home learning encouragement (requirements/business-requirements.md).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Scope per phase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See phases above; the MVP/deferred split is the primary scope boundary (business-requirements.md). No further sub-phasing of the MVP build has been defined — it proceeds as a single iterative loop-harness build against the STATE.md queue, not a phased sub-schedule.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Resourcing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Iterative, solo-developer delivery — no fixed milestone dates, no external delivery team to coordinate (constraints.md).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Dependencies (internal and external)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D-001: certificate PDF generation approach decided (QuestPDF, ADR-0001); a certificate template still needs to be designed before build.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D-002: outbound transactional email provider decided (Azure Communication Services Email, ADR-0001); a verified sending domain is still required before go-live.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D-003: DPIA (Data Protection Impact Assessment) screening against ICO guidance, given special-category and children's data are processed (UK GDPR Art. 35). Owner: Philip. Due: before go-live (governance/raid.md).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Gate/decision schedule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Two gates: design gate (this package) and delivery gate. No further stage boundaries are yet defined.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Cutover and rollback approach (plan level)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 migration is in scope (clean start, A-003), which simplifies cutover. Formal cutover/rollback steps are not yet walked beyond that; acceptable to firm up at the delivery gate given the absence of any legacy system to cut over from.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Comms and training needs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Not yet agreed. Likely minimal given the small, personally-known user base (tens of users per role), but not yet formally scoped.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Delivery approach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Definition of done for build: the loop-harness verify gate exits 0, not a subjective 'looks right' call (per the engineer's own loop-engineering practice).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9. Exit criteria for the delivery gate (named now, not left implicit)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DPIA screening complete (raid.md D-003).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Certificate template + delivery mechanism decided and built (requirements/functional.md).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OWASP ASVS 5.0 access-control/logging conformance checked against the built system (ADR-0004 sensitive-data access control, as rewritten at second design review).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All TC-nnn in quality/test-plan.md passing, RTM (quality/traceability.md) complete.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Delivery Plan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