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Non-Functional Requirements Specification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Non-Functional Requirements Specification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VLMS-NFR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non-functional.md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NFR-004 (compatibility) named with a concrete browser/OS/PWA target; NFR-001 (security) updated to cite the EF Core global query filter + read-audit-log mechanism (ADR-0004).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second design-gate review: NFR-001 corrected from 'column-level access control/masking' to whole-entity access control (the ConsentRecord/ConsentSensitiveDetails split, ADR-0004 rewrite), with the audit-log write mechanism (DbCommandInterceptor), tamper protection and 6-year retention named explicitly; verification method now includes TC-014.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Satisfies: ISO/IEC 25010:2023 (product quality characteristics, used as the completeness checklist); OWASP ASVS 5.0; WCAG 2.2.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Functional suitability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Covered by VLMS-SRS functional requirements; no separate functional-suitability NFR recorded.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Performance efficiency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Not yet explicitly walked. Scale is small (tens of users per role — stakeholders.md), so demanding performance/throughput targets are unlikely to be the binding constraint, but no target has been set. Acceptable to firm up at the delivery gate rather than block design approval.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Compatibility — NFR-004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Concrete conformance target, confirmed at design review (previously unwalked): current versions of Chrome, Edge, Safari, and Firefox, on Windows, macOS, iOS, and Android, per Blazor supported platforms (learn.microsoft.com/aspnet/core/blazor/supported-platforms). This matches the phone/tablet/browser access requirement in constraints.md without committing to legacy-browser support no user of this system needs.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Traced to: constraints.md (phone/tablet/browser access), ADR-0001 (Blazor Web App/PWA choice). Verification method: cross-browser/OS manual spot-check against the named matrix (delivery gate).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Interaction capability / accessibility — NFR-002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WCAG 2.2 AA conformance — a firm, testable NFR (not just a good-practice aspiration), given parents and students of varying ability use the system. Verification method: automated tooling plus manual spot-check (VLMS-TEST).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Reliability / availability — NFR-003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Best-effort — no formal uptime SLA/RPO/RTO target. Brief downtime for deploys/maintenance is acceptable. Must reliably work during actual usage windows (evenings/weekends around sessions). Traced to: ADR-0001 (App Service tier choice). Verification method: informal — monitored during real usage windows; no formal SLA measurement in place.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Security — NFR-001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Whole-entity access control on sensitive data, and audit logging of reads (not just writes) of DbsCheck/ConsentSensitiveDetails — confirmed as a firm NFR.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Design correction (second design review): the requirement was originally stated as 'column-level access control/masking' on three ConsentRecord fields. An EF Core global query filter is a row-inclusion predicate — it cannot redact individual columns within a row a role otherwise needs (Teacher must still read ConsentRecord.Status/ExpiryDate). The sensitive fields were therefore split into their own entity, ConsentSensitiveDetails, so the requirement is now correctly stated as whole-entity access control — the same pattern already correctly used for DbsCheck.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Enforcement mechanism (confirmed at design review, revised at the second pass): EF Core global query filters on DbsCheck and ConsentSensitiveDetails, applied structurally at the DbContext level so every query is restricted automatically. Every read additionally writes a SensitiveDataAccessLog row via a DbCommandInterceptor (a named, structural write mechanism, not a per-repository convention). SensitiveDataAccessLog itself has UPDATE/DELETE denied at the database permission level and is retained 6 years independent of the referenced record's own retention — see adr/0004-sensitive-data-access-control.md, design/data-design.md.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Traced to: BR-003, governance/security-compliance.md, ADR-0002 (role model), ADR-0004 (enforcement mechanism). Verification method: access-control test cases TC-006, TC-007, TC-008, TC-011, TC-012, TC-014 (VLMS-TEST).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Whether this mechanism fully satisfies the OWASP ASVS 5.0 access-control and logging chapters is to be confirmed at build/test time (ADR-0004 consequences).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Maintainability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Not yet explicitly walked as a discrete NFR, beyond the general solo-maintainer design preference recorded in VLMS-SDA and ADR-0001/ADR-0003 (fewest moving parts — e.g. the scheduled job is co-located as a WebJob rather than a separate Azure Functions resource).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Flexibility / scalability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Scale remains tens of users per role over the ~2-year horizon (A-002); the architecture is not being designed for hundreds/thousands of users. Starting Azure tiers (App Service B1, SQL Basic/S0) are sized accordingly; scaling up is a configuration change, not a redesign, if usage grows materially (ADR-0001).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Safety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Not applicable — VLMS has no safety-critical control functions (stated explicitly per standards.md application notes, rather than omitted silently).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Non-Functional Requirements Specification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