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0"/>
      </w:pPr>
      <w:r>
        <w:rPr>
          <w:rFonts w:ascii="Arial" w:hAnsi="Arial"/>
          <w:b/>
          <w:i w:val="0"/>
          <w:color w:val="1F2937"/>
          <w:sz w:val="48"/>
        </w:rPr>
        <w:t>VLMS Requirements Traceability Matrix</w:t>
      </w:r>
    </w:p>
    <w:p>
      <w:pPr>
        <w:spacing w:after="40" w:before="0"/>
      </w:pPr>
      <w:r>
        <w:rPr>
          <w:rFonts w:ascii="Arial" w:hAnsi="Arial"/>
          <w:b w:val="0"/>
          <w:i w:val="0"/>
          <w:color w:val="374151"/>
          <w:sz w:val="24"/>
        </w:rPr>
        <w:t>Varangians LMS — Design Gate (Initial)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 Requirements Traceability Matrix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 code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VLMS-RTM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Version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1.2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Initial — design gate; completed through test execution status at delivery gate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Author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Reviewers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 (sole reviewer / approver)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[TBC]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Scope / phase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Related documents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quality/traceability.md</w:t>
            </w:r>
          </w:p>
        </w:tc>
      </w:tr>
    </w:tbl>
    <w:p>
      <w:pPr>
        <w:spacing w:after="80"/>
      </w:pP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Change History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115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15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7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367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Summary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Initial design gate release, rendered from docs/ working markdown.</w:t>
            </w:r>
          </w:p>
        </w:tc>
      </w:tr>
      <w:tr>
        <w:tc>
          <w:tcPr>
            <w:tcW w:type="dxa" w:w="115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Re-render addressing design-gate review: added NFR-004 row; added TC-011/TC-012/TC-013 to the BR-003/NFR-001 traces; added ADR-0002/ADR-0004 to the NFR-001 design-ref column.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Re-render addressing second design-gate review: BR-003 and NFR-001 design-ref columns updated to name ConsentSensitiveDetails and the DbCommandInterceptor mechanism (not the superseded column-masking description); TC-014 added to the BR-003 and NFR-001 traces.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Contents</w:t>
      </w:r>
    </w:p>
    <w:p>
      <w:fldSimple w:instr="TOC \o &quot;1-2&quot; \h \z \u">
        <w:r>
          <w:t>Right-click and choose "Update Field" to build the contents.</w:t>
        </w:r>
      </w:fldSimple>
    </w:p>
    <w:p>
      <w:r>
        <w:br w:type="page"/>
      </w:r>
    </w:p>
    <w:p>
      <w:pPr>
        <w:spacing w:after="120" w:before="0"/>
      </w:pPr>
      <w:r>
        <w:rPr>
          <w:rFonts w:ascii="Arial" w:hAnsi="Arial"/>
          <w:b w:val="0"/>
          <w:i/>
          <w:sz w:val="22"/>
        </w:rPr>
        <w:t>Satisfies: ISO/IEC/IEEE 29148:2018 (traceability). Every BR traces forward to design and test; every NFR traces back to source.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Note: BR-nnn identifiers here are provisional groupings assigned during design to enable traceability; formalise as discrete numbered BR-nnn/FR-nnn entries in requirements/business-requirements.md / functional.md if finer-grained tracking is needed before build.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421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BR/NFR</w:t>
            </w:r>
          </w:p>
        </w:tc>
        <w:tc>
          <w:tcPr>
            <w:tcW w:type="dxa" w:w="2558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FR/NFR area</w:t>
            </w:r>
          </w:p>
        </w:tc>
        <w:tc>
          <w:tcPr>
            <w:tcW w:type="dxa" w:w="2772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Design ref</w:t>
            </w:r>
          </w:p>
        </w:tc>
        <w:tc>
          <w:tcPr>
            <w:tcW w:type="dxa" w:w="1421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TC</w:t>
            </w:r>
          </w:p>
        </w:tc>
        <w:tc>
          <w:tcPr>
            <w:tcW w:type="dxa" w:w="854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421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BR-001 Progress tracking</w:t>
            </w:r>
          </w:p>
        </w:tc>
        <w:tc>
          <w:tcPr>
            <w:tcW w:type="dxa" w:w="2558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Lesson completion, auto-promotion</w:t>
            </w:r>
          </w:p>
        </w:tc>
        <w:tc>
          <w:tcPr>
            <w:tcW w:type="dxa" w:w="2772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data-design.md (StudentLessonCompletion, StudentRankProgress); low-level-design.md (PromotionService)</w:t>
            </w:r>
          </w:p>
        </w:tc>
        <w:tc>
          <w:tcPr>
            <w:tcW w:type="dxa" w:w="1421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TC-001, TC-003</w:t>
            </w:r>
          </w:p>
        </w:tc>
        <w:tc>
          <w:tcPr>
            <w:tcW w:type="dxa" w:w="854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Designed</w:t>
            </w:r>
          </w:p>
        </w:tc>
      </w:tr>
      <w:tr>
        <w:tc>
          <w:tcPr>
            <w:tcW w:type="dxa" w:w="1421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BR-002 Curriculum management</w:t>
            </w:r>
          </w:p>
        </w:tc>
        <w:tc>
          <w:tcPr>
            <w:tcW w:type="dxa" w:w="2558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Propose/approve/reject/resubmit</w:t>
            </w:r>
          </w:p>
        </w:tc>
        <w:tc>
          <w:tcPr>
            <w:tcW w:type="dxa" w:w="2772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data-design.md (LessonChangeProposal); low-level-design.md (LessonProposalService)</w:t>
            </w:r>
          </w:p>
        </w:tc>
        <w:tc>
          <w:tcPr>
            <w:tcW w:type="dxa" w:w="1421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TC-004, TC-005</w:t>
            </w:r>
          </w:p>
        </w:tc>
        <w:tc>
          <w:tcPr>
            <w:tcW w:type="dxa" w:w="854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Designed</w:t>
            </w:r>
          </w:p>
        </w:tc>
      </w:tr>
      <w:tr>
        <w:tc>
          <w:tcPr>
            <w:tcW w:type="dxa" w:w="1421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BR-003 Safeguarding &amp; consent</w:t>
            </w:r>
          </w:p>
        </w:tc>
        <w:tc>
          <w:tcPr>
            <w:tcW w:type="dxa" w:w="2558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FR-001-FR-005: annual consent, DBS, expiry blocking, guardian-link verification, read-audit logging</w:t>
            </w:r>
          </w:p>
        </w:tc>
        <w:tc>
          <w:tcPr>
            <w:tcW w:type="dxa" w:w="2772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data-design.md (ConsentRecord, ConsentSensitiveDetails, DbsCheck, StudentGuardianLink, SensitiveDataAccessLog); low-level-design.md (ConsentExpiryJob, DbCommandInterceptor); ADR-0002, ADR-0004</w:t>
            </w:r>
          </w:p>
        </w:tc>
        <w:tc>
          <w:tcPr>
            <w:tcW w:type="dxa" w:w="1421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TC-002, TC-009, TC-011, TC-012, TC-013, TC-014</w:t>
            </w:r>
          </w:p>
        </w:tc>
        <w:tc>
          <w:tcPr>
            <w:tcW w:type="dxa" w:w="854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Designed</w:t>
            </w:r>
          </w:p>
        </w:tc>
      </w:tr>
      <w:tr>
        <w:tc>
          <w:tcPr>
            <w:tcW w:type="dxa" w:w="1421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BR-004 Certificates &amp; badges</w:t>
            </w:r>
          </w:p>
        </w:tc>
        <w:tc>
          <w:tcPr>
            <w:tcW w:type="dxa" w:w="2558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Auto-generated PDF, tracked badge records</w:t>
            </w:r>
          </w:p>
        </w:tc>
        <w:tc>
          <w:tcPr>
            <w:tcW w:type="dxa" w:w="2772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data-design.md (Certificate, RankBadge, StudentBadge); low-level-design.md (CertificateService)</w:t>
            </w:r>
          </w:p>
        </w:tc>
        <w:tc>
          <w:tcPr>
            <w:tcW w:type="dxa" w:w="1421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TC-001, TC-003</w:t>
            </w:r>
          </w:p>
        </w:tc>
        <w:tc>
          <w:tcPr>
            <w:tcW w:type="dxa" w:w="854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Designed</w:t>
            </w:r>
          </w:p>
        </w:tc>
      </w:tr>
      <w:tr>
        <w:tc>
          <w:tcPr>
            <w:tcW w:type="dxa" w:w="1421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BR-005 Parent engagement</w:t>
            </w:r>
          </w:p>
        </w:tc>
        <w:tc>
          <w:tcPr>
            <w:tcW w:type="dxa" w:w="2558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Dashboard + notifications</w:t>
            </w:r>
          </w:p>
        </w:tc>
        <w:tc>
          <w:tcPr>
            <w:tcW w:type="dxa" w:w="2772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low-level-design.md (NotificationService)</w:t>
            </w:r>
          </w:p>
        </w:tc>
        <w:tc>
          <w:tcPr>
            <w:tcW w:type="dxa" w:w="1421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TC-006, TC-013</w:t>
            </w:r>
          </w:p>
        </w:tc>
        <w:tc>
          <w:tcPr>
            <w:tcW w:type="dxa" w:w="854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Designed</w:t>
            </w:r>
          </w:p>
        </w:tc>
      </w:tr>
      <w:tr>
        <w:tc>
          <w:tcPr>
            <w:tcW w:type="dxa" w:w="1421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BR-006 Reporting</w:t>
            </w:r>
          </w:p>
        </w:tc>
        <w:tc>
          <w:tcPr>
            <w:tcW w:type="dxa" w:w="2558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Core reports + at-risk flagging</w:t>
            </w:r>
          </w:p>
        </w:tc>
        <w:tc>
          <w:tcPr>
            <w:tcW w:type="dxa" w:w="2772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low-level-design.md (ConsentExpiryJob at-risk sweep)</w:t>
            </w:r>
          </w:p>
        </w:tc>
        <w:tc>
          <w:tcPr>
            <w:tcW w:type="dxa" w:w="1421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TC-010</w:t>
            </w:r>
          </w:p>
        </w:tc>
        <w:tc>
          <w:tcPr>
            <w:tcW w:type="dxa" w:w="854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Designed</w:t>
            </w:r>
          </w:p>
        </w:tc>
      </w:tr>
      <w:tr>
        <w:tc>
          <w:tcPr>
            <w:tcW w:type="dxa" w:w="1421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NFR-001 Access control / PII</w:t>
            </w:r>
          </w:p>
        </w:tc>
        <w:tc>
          <w:tcPr>
            <w:tcW w:type="dxa" w:w="2558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Role-based + resource-based authorization, DBS/ConsentSensitiveDetails whole-entity restriction, read audit log</w:t>
            </w:r>
          </w:p>
        </w:tc>
        <w:tc>
          <w:tcPr>
            <w:tcW w:type="dxa" w:w="2772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low-level-design.md (authorization model); ADR-0002; ADR-0004</w:t>
            </w:r>
          </w:p>
        </w:tc>
        <w:tc>
          <w:tcPr>
            <w:tcW w:type="dxa" w:w="1421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TC-006, TC-007, TC-008, TC-011, TC-014</w:t>
            </w:r>
          </w:p>
        </w:tc>
        <w:tc>
          <w:tcPr>
            <w:tcW w:type="dxa" w:w="854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Designed</w:t>
            </w:r>
          </w:p>
        </w:tc>
      </w:tr>
      <w:tr>
        <w:tc>
          <w:tcPr>
            <w:tcW w:type="dxa" w:w="1421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NFR-002 Accessibility</w:t>
            </w:r>
          </w:p>
        </w:tc>
        <w:tc>
          <w:tcPr>
            <w:tcW w:type="dxa" w:w="2558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WCAG 2.2 AA</w:t>
            </w:r>
          </w:p>
        </w:tc>
        <w:tc>
          <w:tcPr>
            <w:tcW w:type="dxa" w:w="2772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— (applies across UI)</w:t>
            </w:r>
          </w:p>
        </w:tc>
        <w:tc>
          <w:tcPr>
            <w:tcW w:type="dxa" w:w="1421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(accessibility test pass)</w:t>
            </w:r>
          </w:p>
        </w:tc>
        <w:tc>
          <w:tcPr>
            <w:tcW w:type="dxa" w:w="854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Planned</w:t>
            </w:r>
          </w:p>
        </w:tc>
      </w:tr>
      <w:tr>
        <w:tc>
          <w:tcPr>
            <w:tcW w:type="dxa" w:w="1421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NFR-003 Availability</w:t>
            </w:r>
          </w:p>
        </w:tc>
        <w:tc>
          <w:tcPr>
            <w:tcW w:type="dxa" w:w="2558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Best-effort</w:t>
            </w:r>
          </w:p>
        </w:tc>
        <w:tc>
          <w:tcPr>
            <w:tcW w:type="dxa" w:w="2772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ADR-0001 (App Service tier)</w:t>
            </w:r>
          </w:p>
        </w:tc>
        <w:tc>
          <w:tcPr>
            <w:tcW w:type="dxa" w:w="1421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—</w:t>
            </w:r>
          </w:p>
        </w:tc>
        <w:tc>
          <w:tcPr>
            <w:tcW w:type="dxa" w:w="854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Accepted, not test-gated</w:t>
            </w:r>
          </w:p>
        </w:tc>
      </w:tr>
      <w:tr>
        <w:tc>
          <w:tcPr>
            <w:tcW w:type="dxa" w:w="1421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NFR-004 Compatibility</w:t>
            </w:r>
          </w:p>
        </w:tc>
        <w:tc>
          <w:tcPr>
            <w:tcW w:type="dxa" w:w="2558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Named browser/OS/PWA target</w:t>
            </w:r>
          </w:p>
        </w:tc>
        <w:tc>
          <w:tcPr>
            <w:tcW w:type="dxa" w:w="2772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ADR-0001 (Blazor)</w:t>
            </w:r>
          </w:p>
        </w:tc>
        <w:tc>
          <w:tcPr>
            <w:tcW w:type="dxa" w:w="1421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—</w:t>
            </w:r>
          </w:p>
        </w:tc>
        <w:tc>
          <w:tcPr>
            <w:tcW w:type="dxa" w:w="854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Accepted, not test-gated at design gate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560" w:footer="5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6" w:val="right"/>
      </w:tabs>
    </w:pPr>
    <w:r>
      <w:rPr>
        <w:rFonts w:ascii="Arial" w:hAnsi="Arial"/>
        <w:color w:val="6B7280"/>
        <w:sz w:val="16"/>
      </w:rPr>
      <w:t>VLMS Requirements Traceability Matrix</w:t>
      <w:tab/>
    </w:r>
    <w:r>
      <w:rPr>
        <w:rFonts w:ascii="Arial" w:hAnsi="Arial"/>
        <w:color w:val="6B7280"/>
        <w:sz w:val="16"/>
      </w:rPr>
      <w:t xml:space="preserve">Page </w:t>
    </w:r>
    <w:r>
      <w:rPr>
        <w:rFonts w:ascii="Arial" w:hAnsi="Arial"/>
        <w:color w:val="6B7280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0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