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Solution Design &amp; Architecture (HLD)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Solution Design &amp; Architecture (HLD)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VLMS-SDA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1.2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design/architecture.md, adr/0001-0004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  <w:tr>
        <w:tc>
          <w:tcPr>
            <w:tcW w:type="dxa" w:w="11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 addressing design-gate review: cross-referenced ADR-0002, ADR-0003 and ADR-0004; resolved the previously open WebJob-vs-Functions question; confirmed no multi-tenancy in scope.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 addressing second design-gate review: sections 2, 6 and 9 updated for the ADR-0004 rewrite — sensitive-data access control is now the ConsentRecord/ConsentSensitiveDetails entity split enforced by EF Core global query filters, with a named DbCommandInterceptor audit-write mechanism, not per-column masking.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120" w:before="0"/>
      </w:pPr>
      <w:r>
        <w:rPr>
          <w:rFonts w:ascii="Arial" w:hAnsi="Arial"/>
          <w:b w:val="0"/>
          <w:i/>
          <w:sz w:val="22"/>
        </w:rPr>
        <w:t>Satisfies: ISO/IEC/IEEE 42010:2022 (architecture description); C4 model; arc42.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Described per ISO/IEC/IEEE 42010:2022 from the perspective of two stakeholders/concerns: the solo developer (buildability, low ops burden) and the safeguarding/data-protection concern (who can reach what data). Decision records: VLMS-ADR (ADR-0001 through ADR-0004).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1. Current vs target architecture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Current: informal spreadsheet-based tracking, no structured curriculum process, no parent communication channel, no at-home reinforcement mechanism (problem-statement.md). This is a fresh .NET rebuild of a previously abandoned Power Platform (SharePoint/Power Apps/Dataverse/Power Automate/Asana) implementation of the same programme; that prior design is not carried forward.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2. Options considered and rejected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Full rationale in ADR-0001 through ADR-0004 (VLMS-ADR). Summary of rejected alternatives: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22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3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Rejected option</w:t>
            </w:r>
          </w:p>
        </w:tc>
        <w:tc>
          <w:tcPr>
            <w:tcW w:type="dxa" w:w="34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Client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.NET MAUI native app + separate Web API</w:t>
            </w:r>
          </w:p>
        </w:tc>
        <w:tc>
          <w:tcPr>
            <w:tcW w:type="dxa" w:w="3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App-store distribution/update cycles add solo-maintainer overhead disproportionate to a tens-of-users audience.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Identity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AD B2C</w:t>
            </w:r>
          </w:p>
        </w:tc>
        <w:tc>
          <w:tcPr>
            <w:tcW w:type="dxa" w:w="3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Retired for new customers as of May 2025; Entra External ID is Microsoft's current CIAM product.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Identity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Custom ASP.NET Core Identity</w:t>
            </w:r>
          </w:p>
        </w:tc>
        <w:tc>
          <w:tcPr>
            <w:tcW w:type="dxa" w:w="3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Would require building and maintaining password/MFA/account-recovery flows solo.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Hosting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Container Apps / Functions</w:t>
            </w:r>
          </w:p>
        </w:tc>
        <w:tc>
          <w:tcPr>
            <w:tcW w:type="dxa" w:w="3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 Service is the simplest operational model for a single Blazor Web App at this scale for v1.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Cosmos DB</w:t>
            </w:r>
          </w:p>
        </w:tc>
        <w:tc>
          <w:tcPr>
            <w:tcW w:type="dxa" w:w="3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The domain is strongly relational; best served by a relational store with EF Core.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PDF generation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IronPDF, DinkToPdf</w:t>
            </w:r>
          </w:p>
        </w:tc>
        <w:tc>
          <w:tcPr>
            <w:tcW w:type="dxa" w:w="3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QuestPDF chosen for its free Community licence at this scale and native C# fluent API.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Role modelling (ADR-0002)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Native Entra External ID groups</w:t>
            </w:r>
          </w:p>
        </w:tc>
        <w:tc>
          <w:tcPr>
            <w:tcW w:type="dxa" w:w="3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Cannot express resource-scoped access (a Parent of a specific Student); resource-scope checks must live in the application regardless.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Scheduled jobs (ADR-0003)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Azure Functions Timer trigger, separate Function App</w:t>
            </w:r>
          </w:p>
        </w:tc>
        <w:tc>
          <w:tcPr>
            <w:tcW w:type="dxa" w:w="3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Adds a second Azure resource to provision, monitor and pay for, for one daily job with no independent scaling need.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Sensitive-data access control (ADR-0004)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Per-column masking via a query filter (the original decision)</w:t>
            </w:r>
          </w:p>
        </w:tc>
        <w:tc>
          <w:tcPr>
            <w:tcW w:type="dxa" w:w="3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Technically impossible — a global query filter is a row-inclusion predicate, not a column redactor; kept as a record of what was wrong, not a live option.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Sensitive-data access control (ADR-0004)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Per-call data-access-layer policy checks</w:t>
            </w:r>
          </w:p>
        </w:tc>
        <w:tc>
          <w:tcPr>
            <w:tcW w:type="dxa" w:w="3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Relies on every future query author remembering to apply it — not structural.</w:t>
            </w:r>
          </w:p>
        </w:tc>
      </w:tr>
      <w:tr>
        <w:tc>
          <w:tcPr>
            <w:tcW w:type="dxa" w:w="22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Sensitive-data access control (ADR-0004)</w:t>
            </w:r>
          </w:p>
        </w:tc>
        <w:tc>
          <w:tcPr>
            <w:tcW w:type="dxa" w:w="3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Database-level column encryption (Always Encrypted)</w:t>
            </w:r>
          </w:p>
        </w:tc>
        <w:tc>
          <w:tcPr>
            <w:tcW w:type="dxa" w:w="34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Adds operational complexity (key management, limited queryability) disproportionate to solo/tens-of-users scale.</w:t>
            </w:r>
          </w:p>
        </w:tc>
      </w:tr>
      <w:tr>
        <w:tc>
          <w:tcPr>
            <w:tcW w:type="dxa" w:w="22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Sensitive-data access control (ADR-0004)</w:t>
            </w:r>
          </w:p>
        </w:tc>
        <w:tc>
          <w:tcPr>
            <w:tcW w:type="dxa" w:w="3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 mandatory repository wrapper method for the audit-log write</w:t>
            </w:r>
          </w:p>
        </w:tc>
        <w:tc>
          <w:tcPr>
            <w:tcW w:type="dxa" w:w="34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Opt-in by construction — a new query path could bypass it; the DbCommandInterceptor attaches at the DbContext level and cannot be bypassed the same way.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3. Component overview (C4: context and containers)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Figure 1: C4 system-context / container diagram (reproduced from design/architecture.md).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6F7F9"/>
            <w:tcBorders>
              <w:left w:val="single" w:sz="24" w:color="9CA3AF"/>
              <w:top w:val="single" w:sz="6" w:color="9CA3AF"/>
              <w:bottom w:val="single" w:sz="6" w:color="9CA3AF"/>
              <w:right w:val="single" w:sz="6" w:color="9CA3AF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+-------------------------------------------+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|              VLMS (Blazor Web App)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Teacher   -------&gt;|  - Lesson browsing &amp; completion marking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Approver  -------&gt;|  - Content proposal / approval queue        |&lt;--- Microsoft Entra External 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Parent    -------&gt;|  - Progress dashboards, consent forms       |      (sign-in, MFA, self-service)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Student   -------&gt;|  - Reporting 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Safeg. Officer---&gt;|  - Safeguarding/consent/DBS management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Admin     -------&gt;|              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+----------------+-------------+--------------+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|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+----------v---+   +------v---------+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| Azure SQL DB |   | Azure Blob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| (EF Core)    |   | Storage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+--------------+   | (lesson assets,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| certificate PDFs)|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+--------+--------+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      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+---------v---------+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| Azure Communication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| Services (Email)    |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1A1A1A"/>
                <w:sz w:val="17"/>
                <w:rFonts w:ascii="Consolas" w:hAnsi="Consolas"/>
              </w:rPr>
              <w:t xml:space="preserve">                                              +---------------------+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rFonts w:ascii="Arial" w:hAnsi="Arial"/>
          <w:sz w:val="22"/>
        </w:rPr>
        <w:t>Web app (Blazor Web App, .NET, hosted on Azure App Service) — the only user-facing container. Server-side rendering by default; interactive render mode where needed. Owns authorization (role checks) on top of Entra External ID authentication.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Database (Azure SQL Database) — system of record for all domain data. Accessed only via EF Core from the web app; no other component talks to it directly.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Blob storage (Azure Blob Storage) — lesson content assets and generated certificate PDFs. Referenced by URL/blob key from SQL rows; no public anonymous containers, given safeguarding data proximity.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Background/scheduled work — decided: Azure App Service WebJob, co-located with the web app (ADR-0003) — previously an open question between a WebJob and a separate Azure Functions Timer trigger.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Email (Azure Communication Services Email) — outbound-only; no inbound email handling in scope.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Identity (Microsoft Entra External ID) — external tenant; the web app registers as a relying application (OIDC). User roles are modelled as application-level claims, not native Entra External ID groups (ADR-0002).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4. Integration points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None — standalone system (integration.md). Outbound-only email via Azure Communication Services Email.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5. Data flow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Teacher/Approver/Parent/Student/Safeguarding Officer/Admin → Blazor Web App → EF Core → Azure SQL Database (system of record). Lesson assets and certificate PDFs → Blob Storage, referenced by blob key from SQL rows. Outbound notifications → Azure Communication Services Email. The scheduled ConsentExpiryJob (WebJob) reads/writes SQL and triggers notifications.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6. Technology choices with rationale (cross-reference ADRs)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ADR-0001: Blazor + Azure stack (client, hosting, database, identity, storage, email, PDF generation).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ADR-0002: roles as application claims (UserRole table), not native Entra External ID groups — enables resource-scoped authorization (Parent → specific Student via StudentGuardianLink) in one place.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ADR-0003: scheduled/background work via Azure App Service WebJobs, co-located with the web app — fewest moving parts for a solo maintainer.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ADR-0004 (rewritten at second design review): sensitive-data access control via the ConsentRecord/ConsentSensitiveDetails entity split, EF Core global query filters on DbsCheck and ConsentSensitiveDetails, and a SensitiveDataAccessLog read-audit trail written by a DbCommandInterceptor, with database-level tamper protection and 6-year retention.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7. NFR conformance summary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Security (NFR-001): structural enforcement via ADR-0004 (entity split + query filters + audit interceptor); role/resource-based authorization via ADR-0002.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Accessibility (NFR-002): WCAG 2.2 AA — a UI-layer concern, not yet architecturally distinct.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Availability (NFR-003): best-effort, App Service Basic tier — an accepted trade-off (see section 9).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Compatibility (NFR-004): Blazor Web App/PWA meets the named browser/OS matrix.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8. Phased approach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delivery-plan.md is now populated (previously a placeholder) — see VLMS-DEL for the four-phase plan (design gate, MVP build, delivery gate, deferred at-home learning).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9. Decided (resolved since the previous design-gate renders)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Scheduled jobs: Azure App Service WebJobs (ADR-0003) — resolves the previously open WebJob-vs-Functions question.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Sensitive-data access control (revised at second design review): the ConsentRecord/ConsentSensitiveDetails entity split, EF Core global query filters, and a DbCommandInterceptor-based read audit log with tamper protection and 6-year retention (ADR-0004) — supersedes the original per-column masking mechanism, which was found not to be achievable with the chosen filter mechanism.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Multi-tenancy: none — this is a single-organisation system, not designed for multiple Varangians-style organisations to share one deployment.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Deletion approach: hard delete, not anonymisation (design/data-design.md), decided at the second design review.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10. Architecture diagram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See Figure 1 above (C4 system-context/container diagram, reproduced from design/architecture.md).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Solution Design &amp; Architecture (HLD)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