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Security &amp; Compliance Assessment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— Design Gate (Light)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Security &amp; Compliance Assessment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VLMS-SEC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1.2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Light — design gate; completed at delivery gate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governance/security-compliance.md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Initial design gate release, rendered from docs/ working markdown.</w:t>
            </w:r>
          </w:p>
        </w:tc>
      </w:tr>
      <w:tr>
        <w:tc>
          <w:tcPr>
            <w:tcW w:type="dxa" w:w="115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15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Re-render addressing design-gate review: DPIA screening outcome now tracked as a named delivery-gate exit criterion; deletion mechanism decided (interim: manual, Admin-triggered); added guardian-link verification control; access-control section now cites the ADR-0004 enforcement mechanism.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1.2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Re-render addressing a real technical defect caught at second design review: section 3 rewritten around the ConsentRecord/ConsentSensitiveDetails entity split (the original column-level masking mechanism could not be enforced by the EF Core global query filter chosen for it); section 5 adds SensitiveDataAccessLog tamper protection (database-level DENY) and 6-year retention, and confirms the hard-delete decision (previously TBC). DPIA tracking remains cross-referenced to raid.md D-003 as a dated/owned item.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spacing w:after="120" w:before="0"/>
      </w:pPr>
      <w:r>
        <w:rPr>
          <w:rFonts w:ascii="Arial" w:hAnsi="Arial"/>
          <w:b w:val="0"/>
          <w:i/>
          <w:sz w:val="22"/>
        </w:rPr>
        <w:t>Satisfies: ISO/IEC 27001:2022; UK GDPR / Data Protection Act 2018. This is a control document, not legal advice.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1. Data classification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The system manages safeguarding/consent data directly: medical information, photo/media consent, dietary/SEN data, DBS (Disclosure and Barring Service) check records, emergency contact details. This is special-category and children's personal data.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2. Regulatory obligations identified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UK GDPR / Data Protection Act 2018 obligations apply directly (lawful basis, special-category conditions, retention/deletion, data subject rights, likely a DPIA). Confirmed: no external governing body/regulator (e.g. diocese, national youth-org policy) imposes rules beyond general UK law — general UK GDPR/DPA 2018 and safeguarding good practice is the applicable bar.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3. High-level threat considerations / access control by role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DbsCheck records — whole-record access restricted to Admin and Safeguarding Officer only. Teacher and Approver have no access, not even a masked view.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ConsentSensitiveDetails (medical, dietary/SEN, emergency contact) — split out from ConsentRecord at second design review, since these can't be column-masked on a row Teacher otherwise needs (an EF Core global query filter can only include/exclude a whole row). Visible only to Admin and Safeguarding Officer. ConsentRecord itself (status/expiry, non-sensitive) remains readable by Teacher/Approver.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The Approver role is scoped to curriculum/lesson-change approval only — it carries no safeguarding, consent, or DBS privileges (a discovery correction: the Approver role must not be conflated with consent/safeguarding sign-off).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Consent record approval (ConsentRecord.ApprovedByUserId) is performed by Safeguarding Officer or Admin, not by the Approver role.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Guardian-link verification: a StudentGuardianLink is only ever created by Admin/Teacher at student registration, never by parent self-service — closing a gap where Entra External ID's self-service sign-up would otherwise let a parent claim an unverified relationship to a child before accessing their medical/consent data (design/data-design.md). The Admin/Teacher verifies this through the same enrolment channel already used for the student (an evidentiary basis, not a separate formal identity-verification process), proportionate to a small, personally-known membership.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Enforcement mechanism (revised at second design review, ADR-0004): whole-entity access control on DbsCheck and ConsentSensitiveDetails via EF Core global query filters configured on the DbContext, keyed by caller role; bypass requires an explicit IgnoreQueryFilters() call. Audit logging of reads (not just writes) of these two entities is written via a DbCommandInterceptor registered globally on the DbContext — a named, structural write mechanism, not a per-call convention. Confirmed as NFR-001 (requirements/non-functional.md).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4. DPIA screening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Given the special-category and children's data in scope, a DPIA is likely required. The screening outcome against ICO guidance is tracked directly as a dated, owned item — D-003 in governance/raid.md (Owner: Philip; Due: before go-live) — not left as an undated forward reference. A full DPIA is itself a delivery-gate item where processing is confirmed high-risk.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5. Retention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Student records (including consent, medical/dietary/SEN data): retained 3 years from the student leaving/graduating the programme. DbsCheck records: retained 6 years after expiry or the teacher leaving.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Deletion enforcement — interim decision: manual, Admin-triggered deletion via a 'records due for deletion' report, once a record passes its retention period. Full automated purge is deferred as an acceptable trade-off at solo-maintainer/tens-of-users scale.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Hard delete vs anonymisation — decided (previously [TBC], resolved at second design review): hard delete. Simpler to reason about and implement solo, avoids the anonymisation-adequacy question under UK GDPR, and nothing in scope needs retained-but-anonymised historical data. Owner can override if historical trend reporting later matters.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SensitiveDataAccessLog (the audit trail itself) is retained 6 years independent of the referenced record's own retention, and is tamper-protected at the database permission level (UPDATE/DELETE denied via SQL Server DENY on the application's database principal), not just an application convention.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Security &amp; Compliance Assessment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