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Architecture Decision Records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Architecture Decision Records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VLMS-ADR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adr/0001-technology-stack.md, adr/README.md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Format: Nygard / MADR (context, decision, status, consequences, alternatives).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ADRs are added as new decisions are made during design (adr/README.md). One ADR is recorded at this gate.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ADR-0001: Technology stack — Blazor + Azure</w:t>
      </w:r>
    </w:p>
    <w:p>
      <w:pPr>
        <w:spacing w:after="120" w:before="0"/>
      </w:pPr>
      <w:r>
        <w:rPr>
          <w:rFonts w:ascii="Arial" w:hAnsi="Arial"/>
          <w:b/>
          <w:i w:val="0"/>
          <w:sz w:val="22"/>
        </w:rPr>
        <w:t>Status: Accepted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Context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Must be accessible via phone, tablet, and browser.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Solo developer, no dedicated ops team, must minimise ongoing maintenance burden.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Small scale: tens of users per role (Admin, Teacher, Approver, Parent/Guardian, Student, Safeguarding Officer), not hundreds/thousands.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hard budget ceiling, but a stated preference for low ongoing hosting cost.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Manages special-category/children's personal data (safeguarding, medical, consent, DBS).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Standalone system: no integration with an existing membership/payments/calendar platform; only needs outbound transactional email.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PDF documents.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Decision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Blazor Web App (.NET), responsive, PWA-installable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App Service (Linux), Basic (B1) tier initially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SQL Database, Basic/S0 tier initially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Microsoft Entra External ID (CIAM) for all six roles' sign-in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File storage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Blob Storage — lesson content assets, generated certificate PDFs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Email — transactional email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(open-source .NET library, Community licence)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Alternatives considered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Client — .NET MAUI native app + separate Web API: rejected, app-store distribution/update cycles add solo-maintainer overhead disproportionate to a tens-of-users audience; Blazor meets the phone/tablet/browser requirement with one codebase.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— Azure AD B2C: rejected, retired for new customers as of May 2025 (Microsoft Entra fundamentals, learn.microsoft.com/entra/architecture/secure-fundamentals); Entra External ID is Microsoft's current CIAM product (learn.microsoft.com/entra/external-id/external-identities-overview).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— custom ASP.NET Core Identity: rejected, would require building and maintaining password/MFA/account-recovery flows solo, which Entra External ID provides out of the box.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Hosting — Azure Container Apps / Functions: rejected for v1, App Service is the simplest operational model for a single Blazor Web App at this scale; can revisit if scale-to-zero cost savings become material.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— Azure Cosmos DB: rejected, the domain is strongly relational and best served by a relational store with EF Core.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PDF generation — IronPDF, DinkToPdf: rejected, QuestPDF chosen for its free Community licence at this scale and native C# fluent API (no HTML/headless-browser dependency).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Consequences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All identity/auth work is delegated to Entra External ID; user-role mapping must be modelled as application-level authorization, not built from scratch.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QuestPDF is a non-Microsoft dependency; licence terms should be re-checked if the project ever exceeds the Community licence's revenue/org-size threshold.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Azure Communication Services Email requires a verified sending domain before go-live.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Starting tiers (App Service B1, SQL Basic/S0) are sized for tens-of-users load; scaling up is a configuration change, not a redesign, if usage grows materially beyond the ~2-year assumption (raid.md A-002).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Architecture Decision Records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