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Delivery Plan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Delivery Plan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VLMS-DEL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delivery-plan.md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Re-render: dependencies section updated to match the corrected governance/raid.md (D-001/D-002 now decided per ADR-0001, not open).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sz w:val="22"/>
        </w:rPr>
        <w:t>Satisfies: ISO 21502:2020; PMBOK Guide 8th edition.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delivery-plan.md is not yet started (Status: not yet started). No phases, milestones, resourcing, dependencies, gate schedule, cutover/rollback approach, or comms/training plan have been agreed. The sections below are rendered as placeholders per document-specs.md, each marked as a gap rather than invented.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Phases and milestones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No phased build sequence has been agreed beyond MVP vs deferred scope (VLMS-BRD section 8).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Scope per phase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Not yet defined.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Resourcing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Known: solo developer (Philip), no other delivery resource (constraints.md). A phased resourcing plan has not been produced.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Dependencies (internal and external)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See VLMS-RAID (D-001 certificate template design, D-002 verified email sending domain) — the generation approach and email provider themselves are decided per ADR-0001; these two follow-up items remain open dependencies before build.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Gate/decision schedule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This design gate is the first formal gate; a delivery-gate date has not been set (no fixed go-live date per constraints.md).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Cutover and rollback approach (plan level)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Not yet defined. Clean-start data approach is confirmed (no migration, A-003), but a cutover/rollback plan has not been written.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Comms and training needs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Not yet defined.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Delivery Plan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