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Glossary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Glossary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VLMS-GLOS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glossary.md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 w:val="0"/>
          <w:sz w:val="22"/>
        </w:rPr>
        <w:t>The terminology authority for the corpus.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glossary.md is not yet started (Status: not yet started). No canonical glossary has been compiled. The table below lists only the small number of terms that are explicitly expanded inline elsewhere in the working markdown (not a substitute for a compiled glossary).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134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3598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407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134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DBS</w:t>
            </w:r>
          </w:p>
        </w:tc>
        <w:tc>
          <w:tcPr>
            <w:tcW w:type="dxa" w:w="359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Disclosure and Barring Service</w:t>
            </w:r>
          </w:p>
        </w:tc>
        <w:tc>
          <w:tcPr>
            <w:tcW w:type="dxa" w:w="40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requirements/functional.md; design/data-design.md; governance/security-compliance.md</w:t>
            </w:r>
          </w:p>
        </w:tc>
      </w:tr>
      <w:tr>
        <w:tc>
          <w:tcPr>
            <w:tcW w:type="dxa" w:w="134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ACS</w:t>
            </w:r>
          </w:p>
        </w:tc>
        <w:tc>
          <w:tcPr>
            <w:tcW w:type="dxa" w:w="359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Communication Services (Email)</w:t>
            </w:r>
          </w:p>
        </w:tc>
        <w:tc>
          <w:tcPr>
            <w:tcW w:type="dxa" w:w="407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requirements/constraints.md; adr/0001-technology-stack.md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Glossary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