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Non-Functional Requirements Specification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Non-Functional Requirements Specification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VLMS-NFR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non-functional.md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sz w:val="22"/>
        </w:rPr>
        <w:t>Satisfies: ISO/IEC 25010:2023 (product quality characteristics, used as the completeness checklist); OWASP ASVS 5.0; WCAG 2.2.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Performance efficiency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explicitly walked. Scale is small (tens of users per role — see stakeholders.md), so demanding performance/throughput targets are unlikely to be the binding constraint, but no target has been set.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Reliability / availability — NFR-003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Best-effort — no formal uptime SLA/RPO/RTO target. Brief downtime for deploys/maintenance is acceptable. Must reliably work during actual usage windows (evenings/weekends around sessions). Traced to: ADR-0001 (App Service tier choice). Verification method: informal — monitored during real usage windows; no formal SLA measurement in place.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Security — NFR-001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Column-level access control/masking on sensitive fields, and audit logging of access, carried forward as a hypothesis from the prior build. Implemented at design as a data-access-layer query-shaping mechanism (see VLMS-LLD, authorization model): DbsCheck restricted entirely to Admin/Safeguarding Officer; ConsentRecord sensitive fields masked from Teacher and Approver. Traced to: BR-003, governance/security-compliance.md. Verification method: access-control test cases (TC-006, TC-007, TC-008, VLMS-TEST).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Whether this satisfies the OWASP ASVS 5.0 access-control chapter is to be confirmed at build time (low-level-design.md); a formal audit-logging NFR has not yet been confirmed as a discrete NFR-nnn.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Interaction capability / accessibility — NFR-002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WCAG 2.2 AA conformance — a firm, testable NFR (not just a good-practice aspiration), given parents and students of varying ability use the system. Verification method: automated tooling plus manual spot-check (VLMS-TEST).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Maintainability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explicitly walked as a discrete NFR, beyond the general solo-maintainer design preference recorded in the architecture (VLMS-SDA) and ADR-0001.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Compatibility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[TBC – owner: Philip] Not yet explicitly walked as a discrete NFR. Constraints.md records that the system must work via phone, tablet, and browser; this has not yet been restated as a measurable compatibility NFR (e.g. specific browser/OS matrix).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Flexibility / scalability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Scale remains tens of users per role over the ~2-year horizon (A-002); the architecture is not being designed for hundreds/thousands of users. Starting Azure tiers (App Service B1, SQL Basic/S0) are sized accordingly; scaling up is a configuration change, not a redesign, if usage grows materially (ADR-0001).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8. Safety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Not applicable — VLMS has no safety-critical control functions (stated explicitly per standards.md application notes, rather than omitted silently).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Non-Functional Requirements Specification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