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RAID Log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— Design Gate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RAID Log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VLMS-RAID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1.1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 gate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 gate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governance/raid.md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Initial design gate release, rendered from docs/ working markdown.</w:t>
            </w:r>
          </w:p>
        </w:tc>
      </w:tr>
      <w:tr>
        <w:tc>
          <w:tcPr>
            <w:tcW w:type="dxa" w:w="115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15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  <w:tc>
          <w:tcPr>
            <w:tcW w:type="dxa" w:w="27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Re-render: governance/raid.md corrected — D-001 (certificate PDF generation) and D-002 (email provider) now recorded as decided per ADR-0001, resolving the stale ‘not yet selected’ status caught at the previous render.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spacing w:after="200" w:before="0"/>
      </w:pPr>
      <w:r>
        <w:rPr>
          <w:rFonts w:ascii="Arial" w:hAnsi="Arial"/>
          <w:b w:val="0"/>
          <w:i/>
          <w:sz w:val="22"/>
        </w:rPr>
        <w:t>Satisfies: ISO 31000:2018 (risk management principles and process), applied proportionately to a solo-delivered project.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Risks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3009"/>
        <w:gridCol w:w="3009"/>
        <w:gridCol w:w="3009"/>
      </w:tblGrid>
      <w:tr>
        <w:tc>
          <w:tcPr>
            <w:tcW w:type="dxa" w:w="1015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4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3611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Mitigation approach</w:t>
            </w:r>
          </w:p>
        </w:tc>
      </w:tr>
      <w:tr>
        <w:tc>
          <w:tcPr>
            <w:tcW w:type="dxa" w:w="1015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R-001</w:t>
            </w:r>
          </w:p>
        </w:tc>
        <w:tc>
          <w:tcPr>
            <w:tcW w:type="dxa" w:w="4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Special-category/children's data (safeguarding, medical, consent, DBS) is managed in-system; a data-protection failure has real safeguarding consequences, not just reputational cost.</w:t>
            </w:r>
          </w:p>
        </w:tc>
        <w:tc>
          <w:tcPr>
            <w:tcW w:type="dxa" w:w="3611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To be addressed in governance/security-compliance.md (VLMS-SEC) and via OWASP ASVS-aligned NFRs (VLMS-NFR).</w:t>
            </w:r>
          </w:p>
        </w:tc>
      </w:tr>
      <w:tr>
        <w:tc>
          <w:tcPr>
            <w:tcW w:type="dxa" w:w="1015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R-002</w:t>
            </w:r>
          </w:p>
        </w:tc>
        <w:tc>
          <w:tcPr>
            <w:tcW w:type="dxa" w:w="4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Solo developer/maintainer — no delivery redundancy. Bus-factor risk for ongoing operation and support.</w:t>
            </w:r>
          </w:p>
        </w:tc>
        <w:tc>
          <w:tcPr>
            <w:tcW w:type="dxa" w:w="3611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Fewest-moving-parts design preference (e.g. co-located WebJob rather than a separate Azure resource).</w:t>
            </w:r>
          </w:p>
        </w:tc>
      </w:tr>
    </w:tbl>
    <w:p>
      <w:pPr>
        <w:spacing w:after="80"/>
      </w:pP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Assumptions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1012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8014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Assumption</w:t>
            </w:r>
          </w:p>
        </w:tc>
      </w:tr>
      <w:tr>
        <w:tc>
          <w:tcPr>
            <w:tcW w:type="dxa" w:w="101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A-001</w:t>
            </w:r>
          </w:p>
        </w:tc>
        <w:tc>
          <w:tcPr>
            <w:tcW w:type="dxa" w:w="8014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No external safeguarding governing body/regulator beyond general UK law (confirmed with owner).</w:t>
            </w:r>
          </w:p>
        </w:tc>
      </w:tr>
      <w:tr>
        <w:tc>
          <w:tcPr>
            <w:tcW w:type="dxa" w:w="101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A-002</w:t>
            </w:r>
          </w:p>
        </w:tc>
        <w:tc>
          <w:tcPr>
            <w:tcW w:type="dxa" w:w="801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Scale remains “tens of users per role” over the ~2-year horizon; architecture is not being designed for hundreds/thousands of users.</w:t>
            </w:r>
          </w:p>
        </w:tc>
      </w:tr>
      <w:tr>
        <w:tc>
          <w:tcPr>
            <w:tcW w:type="dxa" w:w="101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A-003</w:t>
            </w:r>
          </w:p>
        </w:tc>
        <w:tc>
          <w:tcPr>
            <w:tcW w:type="dxa" w:w="8014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No data migration from the prior spreadsheets — clean start.</w:t>
            </w:r>
          </w:p>
        </w:tc>
      </w:tr>
    </w:tbl>
    <w:p>
      <w:pPr>
        <w:spacing w:after="80"/>
      </w:pP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Issues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None currently open.</w:t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Dependencies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1012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8014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Dependency</w:t>
            </w:r>
          </w:p>
        </w:tc>
      </w:tr>
      <w:tr>
        <w:tc>
          <w:tcPr>
            <w:tcW w:type="dxa" w:w="1012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D-001</w:t>
            </w:r>
          </w:p>
        </w:tc>
        <w:tc>
          <w:tcPr>
            <w:tcW w:type="dxa" w:w="8014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Certificate PDF generation approach selected (QuestPDF, ADR-0001); a certificate template still needs to be designed before build (requirements/functional.md).</w:t>
            </w:r>
          </w:p>
        </w:tc>
      </w:tr>
      <w:tr>
        <w:tc>
          <w:tcPr>
            <w:tcW w:type="dxa" w:w="1012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D-002</w:t>
            </w:r>
          </w:p>
        </w:tc>
        <w:tc>
          <w:tcPr>
            <w:tcW w:type="dxa" w:w="8014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Outbound transactional email provider selected (Azure Communication Services Email, ADR-0001); a verified sending domain is still required before go-live (ADR-0001 consequences).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RAID Log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