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Requirements Traceability Matrix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 (Initial)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Requirements Traceability Matrix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VLMS-RTM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— design gate; completed through test execution status at delivery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quality/traceability.md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200" w:before="0"/>
      </w:pPr>
      <w:r>
        <w:rPr>
          <w:rFonts w:ascii="Arial" w:hAnsi="Arial"/>
          <w:b w:val="0"/>
          <w:i/>
          <w:sz w:val="22"/>
        </w:rPr>
        <w:t>Satisfies: ISO/IEC/IEEE 29148:2018 (traceability). Every BR traces forward to design and test; every NFR traces back to source.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BR/NFR</w:t>
            </w:r>
          </w:p>
        </w:tc>
        <w:tc>
          <w:tcPr>
            <w:tcW w:type="dxa" w:w="1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FR/NFR area</w:t>
            </w:r>
          </w:p>
        </w:tc>
        <w:tc>
          <w:tcPr>
            <w:tcW w:type="dxa" w:w="2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Design ref</w:t>
            </w:r>
          </w:p>
        </w:tc>
        <w:tc>
          <w:tcPr>
            <w:tcW w:type="dxa" w:w="1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TC</w:t>
            </w:r>
          </w:p>
        </w:tc>
        <w:tc>
          <w:tcPr>
            <w:tcW w:type="dxa" w:w="15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BR-001 Progress tracking</w:t>
            </w:r>
          </w:p>
        </w:tc>
        <w:tc>
          <w:tcPr>
            <w:tcW w:type="dxa" w:w="1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Lesson completion, auto-promotion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(StudentLessonCompletion, StudentRankProgress); low-level-design.md (PromotionService)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BR-002 Curriculum management</w:t>
            </w:r>
          </w:p>
        </w:tc>
        <w:tc>
          <w:tcPr>
            <w:tcW w:type="dxa" w:w="1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Propose/approve/reject/resubmit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(LessonChangeProposal); low-level-design.md (LessonProposalService)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TC-004, TC-005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BR-003 Safeguarding &amp; consent</w:t>
            </w:r>
          </w:p>
        </w:tc>
        <w:tc>
          <w:tcPr>
            <w:tcW w:type="dxa" w:w="1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Annual consent, DBS, expiry blocking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(ConsentRecord, DbsCheck); low-level-design.md (ConsentExpiryJob)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TC-002, TC-009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BR-004 Certificates &amp; badges</w:t>
            </w:r>
          </w:p>
        </w:tc>
        <w:tc>
          <w:tcPr>
            <w:tcW w:type="dxa" w:w="1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Auto-generated PDF, tracked badge records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data-design.md (Certificate, RankBadge, StudentBadge); low-level-design.md (CertificateService)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TC-001, TC-003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BR-005 Parent engagement</w:t>
            </w:r>
          </w:p>
        </w:tc>
        <w:tc>
          <w:tcPr>
            <w:tcW w:type="dxa" w:w="1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Dashboard + notifications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(NotificationService)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BR-006 Reporting</w:t>
            </w:r>
          </w:p>
        </w:tc>
        <w:tc>
          <w:tcPr>
            <w:tcW w:type="dxa" w:w="1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Core reports + at-risk flagging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(ConsentExpiryJob at-risk sweep)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TC-010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NFR-001 Access control / PII</w:t>
            </w:r>
          </w:p>
        </w:tc>
        <w:tc>
          <w:tcPr>
            <w:tcW w:type="dxa" w:w="1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Role-based + resource-based authorization, DBS/consent masking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low-level-design.md (authorization model)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TC-006, TC-007, TC-008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Designed</w:t>
            </w:r>
          </w:p>
        </w:tc>
      </w:tr>
      <w:tr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NFR-002 Accessibility</w:t>
            </w:r>
          </w:p>
        </w:tc>
        <w:tc>
          <w:tcPr>
            <w:tcW w:type="dxa" w:w="1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WCAG 2.2 AA</w:t>
            </w:r>
          </w:p>
        </w:tc>
        <w:tc>
          <w:tcPr>
            <w:tcW w:type="dxa" w:w="2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(applies across UI)</w:t>
            </w:r>
          </w:p>
        </w:tc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Accessibility test pass</w:t>
            </w:r>
          </w:p>
        </w:tc>
        <w:tc>
          <w:tcPr>
            <w:tcW w:type="dxa" w:w="15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Planned</w:t>
            </w:r>
          </w:p>
        </w:tc>
      </w:tr>
      <w:tr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NFR-003 Availability</w:t>
            </w:r>
          </w:p>
        </w:tc>
        <w:tc>
          <w:tcPr>
            <w:tcW w:type="dxa" w:w="1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Best-effort</w:t>
            </w:r>
          </w:p>
        </w:tc>
        <w:tc>
          <w:tcPr>
            <w:tcW w:type="dxa" w:w="2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adr/0001-technology-stack.md (App Service tier)</w:t>
            </w:r>
          </w:p>
        </w:tc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—</w:t>
            </w:r>
          </w:p>
        </w:tc>
        <w:tc>
          <w:tcPr>
            <w:tcW w:type="dxa" w:w="15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Accepted, not test-gated</w:t>
            </w:r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[TBC – owner: Philip] BR-nnn identifiers here are provisional groupings assigned during design to enable traceability; formalise as discrete numbered BR-nnn/FR-nnn entries in requirements/business-requirements.md / functional.md if finer-grained tracking is needed before build (quality/traceability.md).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Requirements Traceability Matrix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