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Solution Design &amp; Architecture (HLD)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Solution Design &amp; Architecture (HLD)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VLMS-SDA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design/architecture.md, adr/0001-technology-stack.md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80" w:before="0"/>
      </w:pPr>
      <w:r>
        <w:rPr>
          <w:rFonts w:ascii="Arial" w:hAnsi="Arial"/>
          <w:b w:val="0"/>
          <w:i/>
          <w:sz w:val="22"/>
        </w:rPr>
        <w:t>Satisfies: ISO/IEC/IEEE 42010:2022 (architecture description); C4 model; arc42.</w:t>
      </w:r>
    </w:p>
    <w:p>
      <w:pPr>
        <w:spacing w:after="200" w:before="0"/>
      </w:pPr>
      <w:r>
        <w:rPr>
          <w:rFonts w:ascii="Arial" w:hAnsi="Arial"/>
          <w:b w:val="0"/>
          <w:i w:val="0"/>
          <w:sz w:val="22"/>
        </w:rPr>
        <w:t>Described per ISO/IEC/IEEE 42010:2022 from the perspective of two stakeholders/concerns: the solo developer (buildability, low ops burden) and the safeguarding/data-protection concern (who can reach what data). Decision record: VLMS-ADR (ADR-0001).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Current vs target architecture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Current: informal spreadsheet-based tracking, no structured curriculum process, no parent communication channel, no at-home reinforcement mechanism (problem-statement.md). This is a fresh .NET rebuild of a previously abandoned Power Platform (SharePoint/Power Apps/Dataverse/Power Automate/Asana) implementation of the same programme; that prior design is not carried forward.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Options considered and rejected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rationale in ADR-0001 (VLMS-ADR). Summary of rejected alternatives: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30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Rejected option</w:t>
            </w:r>
          </w:p>
        </w:tc>
        <w:tc>
          <w:tcPr>
            <w:tcW w:type="dxa" w:w="44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.NET MAUI native app + separate Web API</w:t>
            </w:r>
          </w:p>
        </w:tc>
        <w:tc>
          <w:tcPr>
            <w:tcW w:type="dxa" w:w="4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App-store distribution/update cycles add solo-maintainer overhead disproportionate to a tens-of-users audience.</w:t>
            </w:r>
          </w:p>
        </w:tc>
      </w:tr>
      <w:tr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AD B2C</w:t>
            </w:r>
          </w:p>
        </w:tc>
        <w:tc>
          <w:tcPr>
            <w:tcW w:type="dxa" w:w="4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Retired for new customers as of May 2025; Entra External ID is Microsoft's current CIAM product.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Custom ASP.NET Core Identity</w:t>
            </w:r>
          </w:p>
        </w:tc>
        <w:tc>
          <w:tcPr>
            <w:tcW w:type="dxa" w:w="4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Would require building and maintaining password/MFA/account-recovery flows solo.</w:t>
            </w:r>
          </w:p>
        </w:tc>
      </w:tr>
      <w:tr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Container Apps / Functions</w:t>
            </w:r>
          </w:p>
        </w:tc>
        <w:tc>
          <w:tcPr>
            <w:tcW w:type="dxa" w:w="4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 Service is the simplest operational model for a single Blazor Web App at this scale for v1.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Cosmos DB</w:t>
            </w:r>
          </w:p>
        </w:tc>
        <w:tc>
          <w:tcPr>
            <w:tcW w:type="dxa" w:w="4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domain is strongly relational; best served by a relational store with EF Core.</w:t>
            </w:r>
          </w:p>
        </w:tc>
      </w:tr>
      <w:tr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IronPDF, DinkToPdf</w:t>
            </w:r>
          </w:p>
        </w:tc>
        <w:tc>
          <w:tcPr>
            <w:tcW w:type="dxa" w:w="4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chosen for its free Community licence at this scale and native C# fluent API.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Component overview (C4: context and containers)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val="clear" w:color="auto" w:fill="F6F7F9"/>
            <w:tcBorders>
              <w:left w:val="single" w:sz="24" w:color="9CA3AF"/>
              <w:top w:val="single" w:sz="6" w:color="9CA3AF"/>
              <w:bottom w:val="single" w:sz="6" w:color="9CA3AF"/>
              <w:right w:val="single" w:sz="6" w:color="9CA3AF"/>
            </w:tcBorders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+-------------------------------------------+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|              VLMS (Blazor Web App)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Teacher   -------&gt;|  - Lesson browsing &amp; completion marking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Approver  -------&gt;|  - Content proposal / approval queue       |&lt;--- Microsoft Entra External ID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Parent    -------&gt;|  - Progress dashboards, consent forms      |      (sign-in, MFA, self-service)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Student   -------&gt;|  - Reporting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Safeg. Officer---&gt;|  - Safeguarding/consent/DBS management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Admin     -------&gt;|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+----------------+-------------+-------------+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|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+----------v---+  +-------v--------+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Azure SQL DB |  | Azure Blob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(EF Core)    |  | Storage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+--------------+  | (lesson assets,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| certificate PDFs)|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+--------+--------+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+---------v---------+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| Azure Communication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| Services (Email)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+---------------------+</w:t>
            </w:r>
          </w:p>
        </w:tc>
      </w:tr>
    </w:tbl>
    <w:p>
      <w:pPr>
        <w:spacing w:after="80"/>
      </w:pPr>
    </w:p>
    <w:p>
      <w:pPr>
        <w:spacing w:after="200" w:before="0"/>
        <w:jc w:val="center"/>
      </w:pPr>
      <w:r>
        <w:rPr>
          <w:rFonts w:ascii="Arial" w:hAnsi="Arial"/>
          <w:b w:val="0"/>
          <w:i/>
          <w:color w:val="6B7280"/>
          <w:sz w:val="18"/>
        </w:rPr>
        <w:t>Figure 1: C4 system-context / container diagram (reproduced from design/architecture.md).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Web app (Blazor Web App, .NET, Azure App Service) — the only user-facing container. Server-side rendering by default, interactive render mode where needed. Owns authorization (role checks) on top of Entra External ID authentication.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Database (Azure SQL Database) — system of record for all domain data (VLMS-LLD). Accessed only via EF Core from the web app; no other component talks to it directly.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Blob storage (Azure Blob Storage) — lesson content assets and generated certificate PDFs. Referenced by URL/blob key from SQL rows; access brokered through the web app, no public anonymous containers, given safeguarding data proximity.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Background/scheduled work — consent/DBS expiry monitoring and re-engagement checks run as a scheduled job: decided as an Azure App Service WebJob, co-located with the web app (no separate Azure resource), matching the solo-maintainer preference for fewest moving parts (raid.md R-002).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Email (Azure Communication Services Email) — outbound-only; called synchronously or via a lightweight queue. No inbound email handling in scope.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(Microsoft Entra External ID) — external tenant; the web app registers as a relying application (OIDC). User roles are modelled as application-level claims/roles, not native Entra External ID groups, given the small scale and domain-specific rules (e.g. a Parent's role is scoped to specific Student records).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Multi-tenancy: none — single-organisation system, not designed for multiple Varangians-style organisations to share one deployment.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Integration points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with existing systems (integration.md — standalone application). Outbound-only transactional email via Azure Communication Services Email.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Data flow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All domain writes/reads flow through the web app to Azure SQL Database via EF Core; lesson assets and certificate PDFs are written to/read from Blob Storage, referenced by blob key from SQL rows; the scheduled WebJob reads expiry/at-risk state from SQL and triggers outbound email via Azure Communication Services. See VLMS-LLD for the detailed processing logic of each flow.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Technology choices with rationale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65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Blazor Web App (.NET), responsive, PWA-installable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App Service (Linux), Basic (B1) tier initially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SQL Database, Basic/S0 tier initially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Microsoft Entra External ID (CIAM)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File storage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Blob Storage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Email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Email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(Community licence)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rationale and consequences: ADR-0001 (VLMS-ADR).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NFR conformance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Reliability/availability (NFR-003): best-effort, matched by App Service's operational model. Security (NFR-001): role/resource-based authorization plus data-access-layer masking, addressed in VLMS-LLD. Accessibility (NFR-002): WCAG 2.2 AA is a Blazor UI-layer concern, verified in VLMS-TEST. Flexibility/scalability: starting tiers sized for tens-of-users load per ADR-0001; full detail in VLMS-NFR.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Phased approach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delivery-plan.md is not yet started; no phased build sequence has been agreed beyond MVP vs deferred scope (VLMS-BRD section 8).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Solution Design &amp; Architecture (HLD)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