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Security &amp; Compliance Assessment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(Light)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Security &amp; Compliance Assessment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VLMS-SEC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Light — design gate; completed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 27001:2022; UK GDPR / Data Protection Act 2018. This is a control document, not legal advice.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Data classification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system manages safeguarding/consent data directly: medical information, photo/media consent, dietary/SEN data, DBS (Disclosure and Barring Service) check records, emergency contact details. This is special-category and children's personal data.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Regulatory obligations identified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UK GDPR / Data Protection Act 2018 obligations apply directly (lawful basis, special-category conditions, retention/deletion, data subject rights, likely a DPIA).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To be confirmed with Microsoft Learn / ICO guidance during design, not assumed. Confirmed: no external governing body/regulator (e.g. diocese, national youth-org policy) imposes rules beyond general UK law — general UK GDPR/DPA 2018 and safeguarding good practice is the applicable bar.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High-level threat considerations / access control by role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DbsCheck records — whole-record access restricted to Admin and Safeguarding Officer only. Teacher and Approver have no access, not even a masked view.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ConsentRecord sensitive fields (medical, dietary/SEN, emergency contact) — masked from Teacher and Approver; full visibility for Admin and Safeguarding Officer.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 is scoped to curriculum/lesson-change approval only — it carries no safeguarding, consent, or DBS privileges (a discovery correction: the Approver role must not be conflated with consent/safeguarding sign-off).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 record approval (ConsentRecord.ApprovedByUserId) is performed by Safeguarding Officer or Admin, not by the Approver role.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Column-level access control/masking, and audit logging of access, was a hard requirement in the prior build — carried forward as a hypothesis for NFR-nnn (VLMS-NFR), to be confirmed.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DPIA screening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a full DPIA is required has not yet been confirmed (governance/security-compliance.md records this as pending ICO guidance review). Given the special-category and children's data in scope, a DPIA is likely required; a full DPIA is a delivery-gate item where processing is confirmed high-risk.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Retention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Student records (including consent, medical/dietary/SEN data): retained 3 years from the student leaving/graduating the programme. DbsCheck records: retained 6 years after expiry or the teacher leaving.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Deletion mechanism (hard delete vs anonymisation) and enforcement (manual admin process vs automated purge job) is not yet decided.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Security &amp; Compliance Assessment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