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Test Plan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(Strategy)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Test Plan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VLMS-TEST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Strategy — design gate; completed with results at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quality/test-plan.md, quality/traceability.md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80" w:before="0"/>
      </w:pPr>
      <w:r>
        <w:rPr>
          <w:rFonts w:ascii="Arial" w:hAnsi="Arial"/>
          <w:b w:val="0"/>
          <w:i/>
          <w:sz w:val="22"/>
        </w:rPr>
        <w:t>Satisfies: ISO/IEC/IEEE 29119-3:2021 (test documentation templates).</w:t>
      </w:r>
    </w:p>
    <w:p>
      <w:pPr>
        <w:spacing w:after="200" w:before="0"/>
      </w:pPr>
      <w:r>
        <w:rPr>
          <w:rFonts w:ascii="Arial" w:hAnsi="Arial"/>
          <w:b w:val="0"/>
          <w:i w:val="0"/>
          <w:sz w:val="22"/>
        </w:rPr>
        <w:t>This is a test strategy, not executed results. Completed with results at the delivery gate.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Approach &amp; levels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Unit tests (Vlms.Tests) — domain logic in Vlms.Domain: promotion rules, proposal state machine (propose/approve/reject/resubmit), consent-expiry blocking logic, at-risk threshold calculation.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Integration tests — EF Core against a real (local/test) Azure SQL instance or SQL container: entity relationships, column-masking/access-restriction enforcement (DbsCheck, ConsentRecord sensitive fields) per role, certificate generation round-trip (QuestPDF → Blob Storage).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End-to-end tests — key Blazor user journeys per role (Teacher marks completion → promotion → certificate; Teacher proposes change → Approver approves/rejects → resubmission; Parent views own child only, not others; consent expiry blocks completion).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Accessibility testing — WCAG 2.2 AA conformance check against core screens (automated tooling + manual spot-check), per VLMS-NFR.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Security testing — OWASP ASVS 5.0-aligned checklist review at delivery gate, focused on access control (role/resource-based authorization) given the safeguarding data in scope.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Environments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Local development (solo developer machine).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single Azure staging slot before production.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Whether the App Service tier supports a staging slot is to be confirmed once the Standard tier is provisioned (see ADR-0001 consequences).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Entry/exit criteria (initial)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Entry: feature complete against its FR/NFR, unit tests passing locally.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Exit (delivery gate): all TC-nnn below passing, no open Critical/High severity defects, WCAG 2.2 AA spot-check clean, access-control tests for DBS/consent masking passing.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Initial test case skeleton (TC-nnn)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TC</w:t>
            </w:r>
          </w:p>
        </w:tc>
        <w:tc>
          <w:tcPr>
            <w:tcW w:type="dxa" w:w="51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30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Traces to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</w:t>
            </w:r>
          </w:p>
        </w:tc>
        <w:tc>
          <w:tcPr>
            <w:tcW w:type="dxa" w:w="5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lesson complete; consent valid → completion recorded, certificate generated</w:t>
            </w:r>
          </w:p>
        </w:tc>
        <w:tc>
          <w:tcPr>
            <w:tcW w:type="dxa" w:w="30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Progress tracking, certificates (BR-001, BR-004)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TC-002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lesson complete; consent expired → blocked</w:t>
            </w:r>
          </w:p>
        </w:tc>
        <w:tc>
          <w:tcPr>
            <w:tcW w:type="dxa" w:w="30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 &amp; consent (BR-003)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TC-003</w:t>
            </w:r>
          </w:p>
        </w:tc>
        <w:tc>
          <w:tcPr>
            <w:tcW w:type="dxa" w:w="5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 completes all active lessons in current rank → auto-promoted, badge awarded</w:t>
            </w:r>
          </w:p>
        </w:tc>
        <w:tc>
          <w:tcPr>
            <w:tcW w:type="dxa" w:w="30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Progress tracking (BR-001)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TC-004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proposes lesson change → Approver approves → live</w:t>
            </w:r>
          </w:p>
        </w:tc>
        <w:tc>
          <w:tcPr>
            <w:tcW w:type="dxa" w:w="30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Curriculum management (BR-002)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TC-005</w:t>
            </w:r>
          </w:p>
        </w:tc>
        <w:tc>
          <w:tcPr>
            <w:tcW w:type="dxa" w:w="5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 rejects with comments → Teacher resubmits → Approver approves</w:t>
            </w:r>
          </w:p>
        </w:tc>
        <w:tc>
          <w:tcPr>
            <w:tcW w:type="dxa" w:w="30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Curriculum management (BR-002)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 views own child's dashboard; cannot view another parent's child</w:t>
            </w:r>
          </w:p>
        </w:tc>
        <w:tc>
          <w:tcPr>
            <w:tcW w:type="dxa" w:w="30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Security/access control (NFR-001)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TC-007</w:t>
            </w:r>
          </w:p>
        </w:tc>
        <w:tc>
          <w:tcPr>
            <w:tcW w:type="dxa" w:w="5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attempts to view a DbsCheck record → denied</w:t>
            </w:r>
          </w:p>
        </w:tc>
        <w:tc>
          <w:tcPr>
            <w:tcW w:type="dxa" w:w="30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Security/access control (NFR-001), security-compliance.md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TC-008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 attempts to view/approve a ConsentRecord → denied (out of role remit)</w:t>
            </w:r>
          </w:p>
        </w:tc>
        <w:tc>
          <w:tcPr>
            <w:tcW w:type="dxa" w:w="30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Security/access control (NFR-001)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TC-009</w:t>
            </w:r>
          </w:p>
        </w:tc>
        <w:tc>
          <w:tcPr>
            <w:tcW w:type="dxa" w:w="5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Consent/DBS expiry sweep flags and notifies correctly at threshold</w:t>
            </w:r>
          </w:p>
        </w:tc>
        <w:tc>
          <w:tcPr>
            <w:tcW w:type="dxa" w:w="30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 &amp; consent (BR-003)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TC-010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At-risk flag raised after 8 weeks with no completion</w:t>
            </w:r>
          </w:p>
        </w:tc>
        <w:tc>
          <w:tcPr>
            <w:tcW w:type="dxa" w:w="30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Reporting (BR-006)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traceability matrix: VLMS-RTM.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Test Plan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