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Low-Level Design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Low-Level Design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design/low-level-design.md, design/data-design.md, design/integration.md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guardian-link verification model, NotificationService retry/escalation for safeguarding-critical failures, and the interim (manual, Admin-triggered) deletion-enforcement decision; corrected the open-items section so it no longer contradicts itself; cross-referenced ADR-0002/0003/0004.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a real technical defect caught at second design review: the original design specified an EF Core global query filter to mask three ConsentRecord fields at column level, which is not possible — a query filter can only include/exclude a whole row. Fixed by splitting ConsentRecord into ConsentRecord (non-sensitive) + ConsentSensitiveDetails (sensitive), both now whole-entity restricted like DbsCheck. Also added: the DbCommandInterceptor audit-write mechanism (named explicitly), SensitiveDataAccessLog tamper protection (database-level DENY) and 6-year retention, an evidentiary basis for guardian-link creation, and the hard-delete-vs-anonymisation decision (hard delete). Section 2 entity table, section 7 (security implementation) and section 10 (data lifecycle) rewritten accordingly; test coverage references now include TC-014.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a second real technical defect caught at third design review (Important, now fixed): the pass-2 audit-write mechanism, DbCommandInterceptor, operates on raw ADO.NET commands/CommandText and a forward-only DbDataReader — it has no direct route to a typed EntityId without fragile SQL text-matching, and risks conflicting with EF's own materialization if the reader is read early. Replaced with an IMaterializationInterceptor, whose InitializedInstance hook fires once per entity EF materializes from a query, giving direct typed access (entity is DbsCheck dbs → log dbs.Id) and firing correctly per row even across EF's compiled-query cache. Section 1 (Vlms.Infrastructure), section 2 (SensitiveDataAccessLog row), section 7 (security implementation) and section 11 (open items) updated accordingly.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42010:2022. Data model kept identical to the data requirements referenced by VLMS-SRS.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Component responsibilities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Framework/hosting: .NET, Blazor Web App, hosted on Azure App Service (Linux), Basic (B1) tier (ADR-0001). No separate public API project — per integration.md, VLMS is standalone with no external system needing programmatic access. If that changes, a Vlms.Api project can be split out later without redesigning the domain/infrastructure layers.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Vlms.Web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Blazor Web App — UI, Razor components, authorization policies, WebJob host.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Vlms.Domain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Entities (section 2), domain logic (promotion rules, proposal state machine).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Vlms.Infrastructure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EF Core DbContext (query filters, IMaterializationInterceptor), Azure Blob Storage client, Azure Communication Services Email client, QuestPDF certificate generation.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Vlms.Tests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Unit/integration tests — see VLMS-TEST.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Data model and contracts/schemas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3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3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Order, Code, Name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10-level progression ladder.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Code, Title, ContentBlobKey, IsActive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Current live version of a lesson's content.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LessonId (nullable), ProposedByUserId, ChangeType, ProposedContent, Status, ApproverUserId, ApprovalComments, SubmittedAt, DecidedAt, ResubmissionOfProposalId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Teacher proposes; only Approver decides. Rejection supports comments + resubmission via ResubmissionOfProposalId chaining.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DOB, CurrentRankId, Status, EnrolmentDate, AssignedTeacherUserId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Duplicate-matching on Name+DOB at registration — carried over as a hypothesis (confirm at build time).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ParentGuardian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ContactInfo, IsPrimary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StudentId, ParentGuardianId, CreatedByUserId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Many-to-many. Created only by Admin/Teacher at student registration, never by parent self-service — see 'Guardian link verification' (section 7).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LessonId, CompletedByUserId, CompletedAt, Note, IsReversed, ReversedAt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and can self-correct (IsReversed/ReversedAt) — no separate Admin correction gate.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StudentLessonCompletionId, GeneratedAt, BlobKey (PDF)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on completion (QuestPDF). Real tracked record, not implicit.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ImageBlobKey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One badge per rank.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StudentBadge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RankBadgeId, AwardedAt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Awarded on promotion. Real tracked record.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StudentRankProgress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RankId, StartedAt, CompletedAt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Promotion history; new row starts on rank entry, closes on rank completion.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 (revised — no longer holds sensitive fields)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PeriodStart, PeriodEnd, PhotoMediaConsent, TransportOffsiteConsent, DataSharingConsent, Status, SubmittedByParentId, ApprovedByUserId, ExpiryDate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Contains no sensitive fields. Status/ExpiryDate must remain readable by Teacher to enforce FR-003, so this entity is deliberately not subject to the sensitive-data query filter. Annual renewal. Approved by Safeguarding Officer or Admin only — never the Approver role.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ConsentSensitiveDetails (split out from ConsentRecord at second design review)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ConsentRecordId (1:1), EmergencyMedicalInfo, DietarySEN, EmergencyContact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global query filter can only include/exclude a whole row, not mask columns within a row Teacher otherwise needs — so these three fields now live on their own entity, restricted whole-entity like DbsCheck: visible only to Admin and Safeguarding Officer.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DbsCheck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TeacherUserId, CheckDate, ExpiryDate, CertificateNumber, Status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Whole-record access restricted entirely to Admin/Safeguarding Officer via the sensitive-data query filter — Teacher and Approver have no access at all.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AppUser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EntraObjectId, DisplayName, Email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Maps to the Entra External ID identity.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UserRole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UserId, Role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in {Admin, Teacher, Approver, Parent, Student, SafeguardingOfficer}. A user may hold more than one role.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SensitiveDataAccessLog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UserId, Entity (DbsCheck/ConsentSensitiveDetails), EntityId, AccessedAt, AccessType (View/Export)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Audit trail of reads, not just writes, of safeguarding data. Written by an IMaterializationInterceptor on every read of the two restricted tables — chosen over a raw-SQL DbCommandInterceptor (corrected at third design review) because it gives direct typed access to the materialized entity's ID, correctly once per row even across EF's compiled-query cache. Write-once; UPDATE/DELETE denied at the database permission level, not just an application convention. Retained 6 years, independent of the referenced record's own retention.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Relationships (summary): Rank 1:N Lesson, 1:N RankBadge. Lesson 1:N LessonChangeProposal, 1:N StudentLessonCompletion. Student 1:N StudentLessonCompletion, 1:N StudentRankProgress, 1:N StudentBadge, 1:N ConsentRecord; N:N ParentGuardian via StudentGuardianLink. ConsentRecord 1:1 ConsentSensitiveDetails (the entity split). StudentLessonCompletion 1:1 Certificate (nullable until generated). AppUser 1:N UserRole; referenced by Student.AssignedTeacherUserId, LessonChangeProposal.ProposedByUserId/ApproverUserId, StudentLessonCompletion.CompletedByUserId, ConsentRecord.ApprovedByUserId, DbsCheck.TeacherUserId.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Interface specifications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 API surface (integration.md — standalone). All interaction is via Blazor server-rendered UI, or the WebJob's internal calls into Vlms.Domain services; there are no HTTP endpoints, payloads, or error semantics to specify beyond the UI component contracts implicit in Blazor.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Internal service method contracts (e.g. exact exception types raised by CompletionService/PromotionService) are not yet formally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Processing logic for core flows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LessonProposalService — create/submit a proposal; Approve(proposalId, approverUserId) applies ProposedContent to Lesson; Reject(proposalId, approverUserId, comments) sets Status and enables resubmission via ResubmissionOfProposalId.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CompletionService — MarkComplete(studentId, lessonId, teacherUserId, note?): blocked if the student's active ConsentRecord.Status/ExpiryDate shows expired/missing consent (hard business rule) — reads only the non-sensitive ConsentRecord, never ConsentSensitiveDetails; on success, triggers PromotionService check and CertificateService.Generate(...).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PromotionService — after a completion, checks whether all active Lessons in the student's CurrentRankId are complete; if so, closes the current StudentRankProgress row, opens the next, advances CurrentRankId, and awards the RankBadge via a new StudentBadge. At the final rank, sets Student.Status = Graduated instead of advancing further.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CertificateService — generates a PDF via QuestPDF from a template, uploads to Blob Storage, writes a Certificate row.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ConsentExpiryJob (WebJob, scheduled — ADR-0003) — daily sweep: flags consents/DBS checks expiring within a configurable window and expired ones, triggers NotificationService emails, escalates to Admin/Safeguarding Officer. Also runs at-risk/disengaged flagging (no completion within 8 weeks) and surfaces the 'records due for deletion' report (section 10).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NotificationService — wraps Azure Communication Services Email for completion/promotion confirmations, consent-expiry reminders, and at-risk flags. Failure handling: a failed send for a safeguarding-critical notification (expired consent, expired DBS) is retried with backoff and, if still failing, logged as an escalation-visible failure to Admin — a silent failure here must not be possible, since it is the mechanism that surfaces a safeguarding lapse. Non-critical notifications (e.g. routine completion confirmations) log failure without escalation.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Validation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Expired or missing consent blocks StudentLessonCompletion creation for that student (hard business rule), checked against the non-sensitive ConsentRecord only.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Field-level validation rules beyond the consent-blocking rule (e.g. required fields, formats) are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Error handling and retry policy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Notification failure handling: safeguarding-critical notifications (expired consent, expired DBS) are retried with backoff and, on continued failure, escalated as a visible failure to Admin rather than silently dropped — see NotificationService, section 4, and TC-013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Error handling/retry policy for Blob Storage upload failures (certificate generation) is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Security implementation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Authentication: Microsoft Entra External ID (OIDC), per ADR-0001. Authorization: role-based (UserRole.Role: Admin/Teacher/Approver/Parent/Student/SafeguardingOfficer), modelled as application claims per ADR-0002, implemented via ASP.NET Core authorization policies, plus resource-based checks where a flat role isn't enough: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Parent may only view/act on Student records linked to them via StudentGuardianLink — and that link is only ever created by Admin/Teacher (see 'Guardian link verification' below), never claimed by the parent themselves.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Student may only view their own record.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Teacher sees all students in the programme (confirmed) — not scoped to Student.AssignedTeacherUserId, so teachers can cover for each other.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Whole-entity access restriction (corrected at second design review): DbsCheck and ConsentSensitiveDetails (the medical/dietary-SEN/emergency-contact fields, split out from ConsentRecord — ADR-0004) are restricted structurally via EF Core global query filters on the DbContext, keyed by the current caller's role, not an opt-in per-call convention. The first design-review pass specified column-level masking of these fields directly on ConsentRecord via a query filter; that is not achievable, because a global query filter is a row-inclusion predicate and cannot redact individual columns within a row a role otherwise legitimately needs (Teacher must still read ConsentRecord.Status/ExpiryDate). ConsentRecord itself (status, expiry, non-sensitive flags) remains readable by Teacher/Approver, since CompletionService needs it to enforce the consent-blocks-completion rule (FR-003). Bypassing the filters requires an explicit, greppable IgnoreQueryFilters() call — a reviewable act, not an accident.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Read-audit logging: every read of DbsCheck or ConsentSensitiveDetails is written to SensitiveDataAccessLog. Write mechanism (corrected at third design review): an IMaterializationInterceptor registered on the DbContext. Its InitializedInstance hook fires once per entity instance EF materializes from a query result, giving direct typed access to the entity (entity is DbsCheck dbs → log dbs.Id) — no SQL text-matching, no manual DbDataReader handling, and it fires correctly per row even across EF's compiled-query cache. A prior version of this design named DbCommandInterceptor instead: it operates on raw ADO.NET commands/CommandText and a forward-only DbDataReader, with no direct route to a typed EntityId without fragile SQL text-matching or reader-handling that risked conflicting with EF's own materialization — that mechanism is now rejected and recorded only as a superseded alternative (ADR-0004). Because IMaterializationInterceptor is registered as a singleton shared across DbContext instances, the current-user context is resolved per-call via the materialization context's service provider, not cached on the interceptor. Tamper protection (added at second design review): SensitiveDataAccessLog has UPDATE/DELETE denied at the database permission level (SQL Server DENY on the application's database principal), not just an application-level 'append-only' convention. Retention (added at second design review): 6 years, independent of the referenced record's own retention period, matching the longer DBS retention bar.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Guardian link verification (closes a design-review gap): a StudentGuardianLink is created only by Admin (or a Teacher acting under Admin's authority) at student registration — never by parent self-service. The Admin/Teacher enters the guardian's details and issues an Entra External ID invitation already scoped to the correct Student record. Evidentiary basis (added at second design review): the Admin/Teacher should create the link through the same channel already used to enrol the student — i.e. the guardian is who the family named at enrolment, or someone already known to the programme — not a separate, formal identity-verification process; deliberately lightweight and proportionate to a small, personally-known membership. This closes a gap where Entra External ID's self-service sign-up would otherwise let a parent register and claim a relationship to a child with no verification that the claim is genuine, before ever touching medical/consent data.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Data protection in transit and at rest is not yet explicitly specified beyond the platform defaults of Azure App Service, Azure SQL Database, Blob Storage and Entra External ID (TLS).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Test coverage for this model (whole-entity restriction, audit logging, guardian-link scoping, tamper protection) is the priority of the access-control test suite — TC-006, TC-007, TC-008, TC-011, TC-012, TC-014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Execution &amp; invocation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web app runs as a single Azure App Service (Linux) process. The ConsentExpiryJob runs as an Azure App Service WebJob co-located with the web app (ADR-0003 — decided; no separate Azure resource, matching the solo-maintainer preference for fewest moving parts, VLMS-RAID R-002). There is no separate API surface or externally invocable interface; all invocation is either interactive (Blazor UI) or the daily scheduled sweep.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Diagrams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Component/container diagram: see VLMS-SDA section 3 (C4 context/containers) — the solution structure in section 1 above maps directly onto that diagram's 'Web app' container.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dedicated sequence/execution diagram for the core flows in section 4 has not yet been drawn; the flows above are documented as ordered textual steps only.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Data ownership &amp; lifecycle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System of record: this database is authoritative for all entities above (no external source of truth, per integration.md). Retention: student records (including consent, medical/dietary/SEN data) retained 3 years from the student leaving/graduating the programme. DBS checks are held against Teachers, not students, and are retained 6 years after expiry/the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Deletion enforcement — interim decision (closes a previous open item): manual, Admin-triggered deletion once a record passes its retention period, via an Admin-facing 'records due for deletion' report generated by ConsentExpiryJob's wider sweep. Full automated purge is deferred — acceptable for solo-scale operation, recorded as a deliberate interim choice, not an oversight.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Hard delete vs anonymisation — decided at the second design review: hard delete. Simpler to reason about and implement solo, avoids the adequacy debate over whether an anonymisation technique genuinely prevents re-identification (a live UK GDPR concern), and nothing in the confirmed requirements needs retained-but-anonymised data for ongoing reporting/analytics. Owner can override if historical trend reporting turns out to matter later.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migration — clean start (A-003, VLMS-RAID).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11. Open items to resolve before build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 delivery mechanism (download from dashboard vs emailed automatically) — not yet decided (VLMS-SRS section 3.2).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Confirm the ConsentRecord/ConsentSensitiveDetails split + EF Core global query filter + IMaterializationInterceptor design (ADR-0004) against the OWASP ASVS 5.0 access-control and logging chapters during implementation, via TC-007/TC-008/TC-011/TC-014.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Resolved at design review (three passes — the first pass's masking mechanism was corrected at the second pass, and the second pass's audit-write mechanism was itself corrected at the third pass, ADR-0004): retention periods (3 years student, 6 years DBS, 6 years audit log), role/PII visibility boundaries, guardian-link verification + evidentiary basis, read-audit logging with a named write mechanism and tamper protection, whole-entity restriction via the ConsentRecord/ConsentSensitiveDetails split, and hard-delete-vs-anonymisation — all confirmed above and in VLMS-SDA section 9.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Low-Level Design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