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0"/>
      </w:pPr>
      <w:r>
        <w:rPr>
          <w:rFonts w:ascii="Arial" w:hAnsi="Arial"/>
          <w:b/>
          <w:i w:val="0"/>
          <w:color w:val="1F2937"/>
          <w:sz w:val="48"/>
        </w:rPr>
        <w:t>VLMS RAID Log / Risk Register</w:t>
      </w:r>
    </w:p>
    <w:p>
      <w:pPr>
        <w:spacing w:after="40" w:before="0"/>
      </w:pPr>
      <w:r>
        <w:rPr>
          <w:rFonts w:ascii="Arial" w:hAnsi="Arial"/>
          <w:b w:val="0"/>
          <w:i w:val="0"/>
          <w:color w:val="374151"/>
          <w:sz w:val="24"/>
        </w:rPr>
        <w:t>Varangians LMS — Design Gate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24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Field</w:t>
            </w:r>
          </w:p>
        </w:tc>
        <w:tc>
          <w:tcPr>
            <w:tcW w:type="dxa" w:w="66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 RAID Log / Risk Register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Document code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VLMS-RAID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Version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1.4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Status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Date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Author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Reviewers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 (sole reviewer / approver)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Approver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[TBC]</w:t>
            </w:r>
          </w:p>
        </w:tc>
      </w:tr>
      <w:tr>
        <w:tc>
          <w:tcPr>
            <w:tcW w:type="dxa" w:w="24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Scope / phase</w:t>
            </w:r>
          </w:p>
        </w:tc>
        <w:tc>
          <w:tcPr>
            <w:tcW w:type="dxa" w:w="66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Design gate</w:t>
            </w:r>
          </w:p>
        </w:tc>
      </w:tr>
      <w:tr>
        <w:tc>
          <w:tcPr>
            <w:tcW w:type="dxa" w:w="24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Related documents</w:t>
            </w:r>
          </w:p>
        </w:tc>
        <w:tc>
          <w:tcPr>
            <w:tcW w:type="dxa" w:w="66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governance/raid.md</w:t>
            </w:r>
          </w:p>
        </w:tc>
      </w:tr>
    </w:tbl>
    <w:p>
      <w:pPr>
        <w:spacing w:after="80"/>
      </w:pPr>
    </w:p>
    <w:p>
      <w:pPr>
        <w:keepNext/>
        <w:spacing w:before="200" w:after="80"/>
        <w:outlineLvl w:val="1"/>
      </w:pPr>
      <w:r>
        <w:rPr>
          <w:rFonts w:ascii="Arial" w:hAnsi="Arial"/>
          <w:b/>
          <w:color w:val="1F2937"/>
          <w:sz w:val="26"/>
        </w:rPr>
        <w:t>Change History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115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15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Date</w:t>
            </w:r>
          </w:p>
        </w:tc>
        <w:tc>
          <w:tcPr>
            <w:tcW w:type="dxa" w:w="27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Author</w:t>
            </w:r>
          </w:p>
        </w:tc>
        <w:tc>
          <w:tcPr>
            <w:tcW w:type="dxa" w:w="367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Summary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1.0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Initial design gate release, rendered from docs/ working markdown.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1.1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Re-render: governance/raid.md corrected — D-001 (certificate PDF generation) and D-002 (email provider) now recorded as decided per ADR-0001, resolving the stale 'not yet selected' status caught at the previous render.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1.2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design-gate review: R-001 mitigation updated to reference ADR-0004 (structural access control + read audit log) and the guardian-link verification model, closing the read-audit and guardian-verification gaps identified at review.</w:t>
            </w:r>
          </w:p>
        </w:tc>
      </w:tr>
      <w:tr>
        <w:tc>
          <w:tcPr>
            <w:tcW w:type="dxa" w:w="115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1.3</w:t>
            </w:r>
          </w:p>
        </w:tc>
        <w:tc>
          <w:tcPr>
            <w:tcW w:type="dxa" w:w="15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second design-gate review: R-001 mitigation updated for the ADR-0004 rewrite (ConsentRecord/ConsentSensitiveDetails entity split, DbCommandInterceptor audit-write mechanism, tamper protection, 6-year retention, hard-delete decision); D-003 added (DPIA screening, dated and owned by Philip, due before go-live).</w:t>
            </w:r>
          </w:p>
        </w:tc>
      </w:tr>
      <w:tr>
        <w:tc>
          <w:tcPr>
            <w:tcW w:type="dxa" w:w="115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1.4</w:t>
            </w:r>
          </w:p>
        </w:tc>
        <w:tc>
          <w:tcPr>
            <w:tcW w:type="dxa" w:w="15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17 July 2026</w:t>
            </w:r>
          </w:p>
        </w:tc>
        <w:tc>
          <w:tcPr>
            <w:tcW w:type="dxa" w:w="27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Philip</w:t>
            </w:r>
          </w:p>
        </w:tc>
        <w:tc>
          <w:tcPr>
            <w:tcW w:type="dxa" w:w="367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Re-render addressing third design-gate review (Important finding, now fixed): R-001 mitigation updated again for the ADR-0004 audit-write mechanism correction — DbCommandInterceptor (unreliable typed EntityId extraction from raw SQL) replaced by an IMaterializationInterceptor (direct typed access, correct even across EF's compiled-query cache); the closed-gaps list now also names the corrected audit-write mechanism as a gap this pass closed.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Contents</w:t>
      </w:r>
    </w:p>
    <w:p>
      <w:fldSimple w:instr="TOC \o &quot;1-2&quot; \h \z \u">
        <w:r>
          <w:t>Right-click and choose "Update Field" to build the contents.</w:t>
        </w:r>
      </w:fldSimple>
    </w:p>
    <w:p>
      <w:r>
        <w:br w:type="page"/>
      </w:r>
    </w:p>
    <w:p>
      <w:pPr>
        <w:spacing w:after="120" w:before="0"/>
      </w:pPr>
      <w:r>
        <w:rPr>
          <w:rFonts w:ascii="Arial" w:hAnsi="Arial"/>
          <w:b w:val="0"/>
          <w:i/>
          <w:sz w:val="22"/>
        </w:rPr>
        <w:t>Satisfies: ISO 31000:2018 (risk management principles and process), applied proportionately to a solo-delivered project.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Risks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3009"/>
        <w:gridCol w:w="3009"/>
        <w:gridCol w:w="3009"/>
      </w:tblGrid>
      <w:tr>
        <w:tc>
          <w:tcPr>
            <w:tcW w:type="dxa" w:w="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39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Risk</w:t>
            </w:r>
          </w:p>
        </w:tc>
        <w:tc>
          <w:tcPr>
            <w:tcW w:type="dxa" w:w="42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Mitigation</w:t>
            </w:r>
          </w:p>
        </w:tc>
      </w:tr>
      <w:tr>
        <w:tc>
          <w:tcPr>
            <w:tcW w:type="dxa" w:w="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R-001</w:t>
            </w:r>
          </w:p>
        </w:tc>
        <w:tc>
          <w:tcPr>
            <w:tcW w:type="dxa" w:w="39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Special-category/children's data (safeguarding, medical, consent, DBS) is managed in-system; a data-protection failure has real safeguarding consequences, not just reputational cost.</w:t>
            </w:r>
          </w:p>
        </w:tc>
        <w:tc>
          <w:tcPr>
            <w:tcW w:type="dxa" w:w="42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governance/security-compliance.md, OWASP ASVS-aligned NFRs, and — added across three design-review passes — the ConsentRecord/ConsentSensitiveDetails entity split with structural whole-entity access control (ADR-0004: EF Core global query filters + IMaterializationInterceptor-based read audit log, tamper-protected via database-level DENY, retained 6 years) and verified guardian-linking (design/data-design.md). Closes gaps the initial design left open: no read-audit trail; no verification that a self-registering parent was genuinely a child's guardian; a masking mechanism that couldn't actually mask individual columns; an audit-write mechanism that couldn't reliably identify which entity was read. The hard-delete-vs-anonymisation question is also now decided (hard delete), removing a further open question from this risk's scope.</w:t>
            </w:r>
          </w:p>
        </w:tc>
      </w:tr>
      <w:tr>
        <w:tc>
          <w:tcPr>
            <w:tcW w:type="dxa" w:w="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R-002</w:t>
            </w:r>
          </w:p>
        </w:tc>
        <w:tc>
          <w:tcPr>
            <w:tcW w:type="dxa" w:w="39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Solo developer/maintainer — no delivery redundancy. Bus-factor risk for ongoing operation and support.</w:t>
            </w:r>
          </w:p>
        </w:tc>
        <w:tc>
          <w:tcPr>
            <w:tcW w:type="dxa" w:w="42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Deliberate preference for fewest moving parts throughout design (e.g. WebJob over a separate Functions resource, ADR-0003).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Assumptions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1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7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Assumption</w:t>
            </w:r>
          </w:p>
        </w:tc>
      </w:tr>
      <w:tr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A-001</w:t>
            </w:r>
          </w:p>
        </w:tc>
        <w:tc>
          <w:tcPr>
            <w:tcW w:type="dxa" w:w="7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external safeguarding governing body/regulator beyond general UK law (confirmed with owner).</w:t>
            </w:r>
          </w:p>
        </w:tc>
      </w:tr>
      <w:tr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A-002</w:t>
            </w:r>
          </w:p>
        </w:tc>
        <w:tc>
          <w:tcPr>
            <w:tcW w:type="dxa" w:w="7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Scale remains 'tens of users per role' over the ~2-year horizon; architecture is not being designed for hundreds/thousands of users.</w:t>
            </w:r>
          </w:p>
        </w:tc>
      </w:tr>
      <w:tr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A-003</w:t>
            </w:r>
          </w:p>
        </w:tc>
        <w:tc>
          <w:tcPr>
            <w:tcW w:type="dxa" w:w="7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No data migration from the prior spreadsheets — clean start.</w:t>
            </w:r>
          </w:p>
        </w:tc>
      </w:tr>
    </w:tbl>
    <w:p>
      <w:pPr>
        <w:spacing w:after="80"/>
      </w:pP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Issues</w:t>
      </w:r>
    </w:p>
    <w:p>
      <w:pPr>
        <w:spacing w:after="120" w:before="0"/>
      </w:pPr>
      <w:r>
        <w:rPr>
          <w:rFonts w:ascii="Arial" w:hAnsi="Arial"/>
          <w:b w:val="0"/>
          <w:i w:val="0"/>
          <w:sz w:val="22"/>
        </w:rPr>
        <w:t>None currently open.</w:t>
      </w:r>
    </w:p>
    <w:p>
      <w:pPr>
        <w:keepNext/>
        <w:spacing w:before="280" w:after="120"/>
        <w:outlineLvl w:val="0"/>
      </w:pPr>
      <w:r>
        <w:rPr>
          <w:rFonts w:ascii="Arial" w:hAnsi="Arial"/>
          <w:b/>
          <w:color w:val="111827"/>
          <w:sz w:val="32"/>
        </w:rPr>
        <w:t>Dependencies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C7D7D9"/>
          <w:left w:val="single" w:sz="4" w:color="C7D7D9"/>
          <w:bottom w:val="single" w:sz="4" w:color="C7D7D9"/>
          <w:right w:val="single" w:sz="4" w:color="C7D7D9"/>
          <w:insideH w:val="single" w:sz="4" w:color="C7D7D9"/>
          <w:insideV w:val="single" w:sz="4" w:color="C7D7D9"/>
        </w:tblBorders>
      </w:tblPr>
      <w:tblGrid>
        <w:gridCol w:w="4513"/>
        <w:gridCol w:w="4513"/>
      </w:tblGrid>
      <w:tr>
        <w:tc>
          <w:tcPr>
            <w:tcW w:type="dxa" w:w="1200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ID</w:t>
            </w:r>
          </w:p>
        </w:tc>
        <w:tc>
          <w:tcPr>
            <w:tcW w:type="dxa" w:w="7826"/>
            <w:shd w:val="clear" w:color="auto" w:fill="374151"/>
          </w:tcPr>
          <w:p>
            <w:pPr>
              <w:spacing w:after="40" w:before="40"/>
            </w:pPr>
            <w:r>
              <w:rPr>
                <w:rFonts w:ascii="Arial" w:hAnsi="Arial"/>
                <w:b/>
                <w:color w:val="FFFFFF"/>
                <w:sz w:val="20"/>
              </w:rPr>
              <w:t>Dependency</w:t>
            </w:r>
          </w:p>
        </w:tc>
      </w:tr>
      <w:tr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D-001</w:t>
            </w:r>
          </w:p>
        </w:tc>
        <w:tc>
          <w:tcPr>
            <w:tcW w:type="dxa" w:w="7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Certificate PDF generation approach selected (QuestPDF, ADR-0001); a certificate template still needs to be designed before build (VLMS-SRS section 3.2).</w:t>
            </w:r>
          </w:p>
        </w:tc>
      </w:tr>
      <w:tr>
        <w:tc>
          <w:tcPr>
            <w:tcW w:type="dxa" w:w="1200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D-002</w:t>
            </w:r>
          </w:p>
        </w:tc>
        <w:tc>
          <w:tcPr>
            <w:tcW w:type="dxa" w:w="7826"/>
            <w:shd w:val="clear" w:color="auto" w:fill="FFFFFF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Outbound transactional email provider selected (Azure Communication Services Email, ADR-0001); a verified sending domain is still required before go-live.</w:t>
            </w:r>
          </w:p>
        </w:tc>
      </w:tr>
      <w:tr>
        <w:tc>
          <w:tcPr>
            <w:tcW w:type="dxa" w:w="1200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D-003</w:t>
            </w:r>
          </w:p>
        </w:tc>
        <w:tc>
          <w:tcPr>
            <w:tcW w:type="dxa" w:w="7826"/>
            <w:shd w:val="clear" w:color="auto" w:fill="F3F4F6"/>
          </w:tcPr>
          <w:p>
            <w:pPr>
              <w:spacing w:after="40" w:before="40"/>
            </w:pPr>
            <w:r>
              <w:rPr>
                <w:rFonts w:ascii="Arial" w:hAnsi="Arial"/>
                <w:sz w:val="20"/>
              </w:rPr>
              <w:t>DPIA (Data Protection Impact Assessment) screening against ICO guidance is required given special-category and children's data are processed (UK GDPR Art. 35). Owner: Philip. Due: before go-live — a dated, owned commitment tracked here directly, not deferred to an undated future document.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440" w:right="1440" w:bottom="1440" w:left="1440" w:header="560" w:footer="5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6" w:val="right"/>
      </w:tabs>
    </w:pPr>
    <w:r>
      <w:rPr>
        <w:rFonts w:ascii="Arial" w:hAnsi="Arial"/>
        <w:color w:val="6B7280"/>
        <w:sz w:val="16"/>
      </w:rPr>
      <w:t>VLMS RAID Log / Risk Register</w:t>
      <w:tab/>
    </w:r>
    <w:r>
      <w:rPr>
        <w:rFonts w:ascii="Arial" w:hAnsi="Arial"/>
        <w:color w:val="6B7280"/>
        <w:sz w:val="16"/>
      </w:rPr>
      <w:t xml:space="preserve">Page </w:t>
    </w:r>
    <w:r>
      <w:rPr>
        <w:rFonts w:ascii="Arial" w:hAnsi="Arial"/>
        <w:color w:val="6B7280"/>
        <w:sz w:val="16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20202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