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</w:pPr>
      <w:r>
        <w:rPr>
          <w:rFonts w:ascii="Arial" w:hAnsi="Arial"/>
          <w:b/>
          <w:i w:val="0"/>
          <w:color w:val="1F2937"/>
          <w:sz w:val="48"/>
        </w:rPr>
        <w:t>VLMS Requirements Traceability Matrix</w:t>
      </w:r>
    </w:p>
    <w:p>
      <w:pPr>
        <w:spacing w:after="40" w:before="0"/>
      </w:pPr>
      <w:r>
        <w:rPr>
          <w:rFonts w:ascii="Arial" w:hAnsi="Arial"/>
          <w:b w:val="0"/>
          <w:i w:val="0"/>
          <w:color w:val="374151"/>
          <w:sz w:val="24"/>
        </w:rPr>
        <w:t>Varangians LMS — Design Gate (Initial)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4513"/>
        <w:gridCol w:w="4513"/>
      </w:tblGrid>
      <w:tr>
        <w:tc>
          <w:tcPr>
            <w:tcW w:type="dxa" w:w="24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6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 Requirements Traceability Matrix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Document code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VLMS-RTM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Version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1.3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Status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Initial — design gate; completed through test execution status at delivery gate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Author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Reviewers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 (sole reviewer / approver)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Approver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[TBC]</w:t>
            </w:r>
          </w:p>
        </w:tc>
      </w:tr>
      <w:tr>
        <w:tc>
          <w:tcPr>
            <w:tcW w:type="dxa" w:w="24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Scope / phase</w:t>
            </w:r>
          </w:p>
        </w:tc>
        <w:tc>
          <w:tcPr>
            <w:tcW w:type="dxa" w:w="66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 gate</w:t>
            </w:r>
          </w:p>
        </w:tc>
      </w:tr>
      <w:tr>
        <w:tc>
          <w:tcPr>
            <w:tcW w:type="dxa" w:w="24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Related documents</w:t>
            </w:r>
          </w:p>
        </w:tc>
        <w:tc>
          <w:tcPr>
            <w:tcW w:type="dxa" w:w="66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quality/traceability.md</w:t>
            </w:r>
          </w:p>
        </w:tc>
      </w:tr>
    </w:tbl>
    <w:p>
      <w:pPr>
        <w:spacing w:after="80"/>
      </w:pPr>
    </w:p>
    <w:p>
      <w:pPr>
        <w:keepNext/>
        <w:spacing w:before="200" w:after="80"/>
        <w:outlineLvl w:val="1"/>
      </w:pPr>
      <w:r>
        <w:rPr>
          <w:rFonts w:ascii="Arial" w:hAnsi="Arial"/>
          <w:b/>
          <w:color w:val="1F2937"/>
          <w:sz w:val="26"/>
        </w:rPr>
        <w:t>Change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115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7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367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Summary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Initial design gate release, rendered from docs/ working markdown.</w:t>
            </w:r>
          </w:p>
        </w:tc>
      </w:tr>
      <w:tr>
        <w:tc>
          <w:tcPr>
            <w:tcW w:type="dxa" w:w="115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1.1</w:t>
            </w:r>
          </w:p>
        </w:tc>
        <w:tc>
          <w:tcPr>
            <w:tcW w:type="dxa" w:w="15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Re-render addressing design-gate review: added NFR-004 row; added TC-011/TC-012/TC-013 to the BR-003/NFR-001 traces; added ADR-0002/ADR-0004 to the NFR-001 design-ref column.</w:t>
            </w:r>
          </w:p>
        </w:tc>
      </w:tr>
      <w:tr>
        <w:tc>
          <w:tcPr>
            <w:tcW w:type="dxa" w:w="115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1.2</w:t>
            </w:r>
          </w:p>
        </w:tc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Re-render addressing second design-gate review: BR-003 and NFR-001 design-ref columns updated to name ConsentSensitiveDetails and the DbCommandInterceptor mechanism (not the superseded column-masking description); TC-014 added to the BR-003 and NFR-001 traces.</w:t>
            </w:r>
          </w:p>
        </w:tc>
      </w:tr>
      <w:tr>
        <w:tc>
          <w:tcPr>
            <w:tcW w:type="dxa" w:w="115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1.3</w:t>
            </w:r>
          </w:p>
        </w:tc>
        <w:tc>
          <w:tcPr>
            <w:tcW w:type="dxa" w:w="15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17 July 2026</w:t>
            </w:r>
          </w:p>
        </w:tc>
        <w:tc>
          <w:tcPr>
            <w:tcW w:type="dxa" w:w="27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Philip</w:t>
            </w:r>
          </w:p>
        </w:tc>
        <w:tc>
          <w:tcPr>
            <w:tcW w:type="dxa" w:w="367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Re-render addressing third design-gate review (Important finding, now fixed): BR-003 and NFR-001 design-ref columns renamed from DbCommandInterceptor to IMaterializationInterceptor, matching the corrected ADR-0004 audit-write mechanism.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280" w:after="120"/>
        <w:outlineLvl w:val="0"/>
      </w:pPr>
      <w:r>
        <w:rPr>
          <w:rFonts w:ascii="Arial" w:hAnsi="Arial"/>
          <w:b/>
          <w:color w:val="111827"/>
          <w:sz w:val="32"/>
        </w:rPr>
        <w:t>Contents</w:t>
      </w:r>
    </w:p>
    <w:p>
      <w:fldSimple w:instr="TOC \o &quot;1-2&quot; \h \z \u">
        <w:r>
          <w:t>Right-click and choose "Update Field" to build the contents.</w:t>
        </w:r>
      </w:fldSimple>
    </w:p>
    <w:p>
      <w:r>
        <w:br w:type="page"/>
      </w:r>
    </w:p>
    <w:p>
      <w:pPr>
        <w:spacing w:after="120" w:before="0"/>
      </w:pPr>
      <w:r>
        <w:rPr>
          <w:rFonts w:ascii="Arial" w:hAnsi="Arial"/>
          <w:b w:val="0"/>
          <w:i/>
          <w:sz w:val="22"/>
        </w:rPr>
        <w:t>Satisfies: ISO/IEC/IEEE 29148:2018 (traceability). Every BR traces forward to design and test; every NFR traces back to source.</w:t>
      </w:r>
    </w:p>
    <w:p>
      <w:pPr>
        <w:spacing w:after="120" w:before="0"/>
      </w:pPr>
      <w:r>
        <w:rPr>
          <w:rFonts w:ascii="Arial" w:hAnsi="Arial"/>
          <w:b w:val="0"/>
          <w:i w:val="0"/>
          <w:sz w:val="22"/>
        </w:rPr>
        <w:t>Note: BR-nnn identifiers here are provisional groupings assigned during design to enable traceability; formalise as discrete numbered BR-nnn/FR-nnn entries in requirements/business-requirements.md / functional.md if finer-grained tracking is needed before build.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7D7D9"/>
          <w:left w:val="single" w:sz="4" w:color="C7D7D9"/>
          <w:bottom w:val="single" w:sz="4" w:color="C7D7D9"/>
          <w:right w:val="single" w:sz="4" w:color="C7D7D9"/>
          <w:insideH w:val="single" w:sz="4" w:color="C7D7D9"/>
          <w:insideV w:val="single" w:sz="4" w:color="C7D7D9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5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BR/NFR</w:t>
            </w:r>
          </w:p>
        </w:tc>
        <w:tc>
          <w:tcPr>
            <w:tcW w:type="dxa" w:w="19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FR/NFR area</w:t>
            </w:r>
          </w:p>
        </w:tc>
        <w:tc>
          <w:tcPr>
            <w:tcW w:type="dxa" w:w="33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Design ref</w:t>
            </w:r>
          </w:p>
        </w:tc>
        <w:tc>
          <w:tcPr>
            <w:tcW w:type="dxa" w:w="1300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TC</w:t>
            </w:r>
          </w:p>
        </w:tc>
        <w:tc>
          <w:tcPr>
            <w:tcW w:type="dxa" w:w="1026"/>
            <w:shd w:val="clear" w:color="auto" w:fill="374151"/>
          </w:tcPr>
          <w:p>
            <w:pPr>
              <w:spacing w:after="40" w:before="40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BR-001 Progress tracking</w:t>
            </w:r>
          </w:p>
        </w:tc>
        <w:tc>
          <w:tcPr>
            <w:tcW w:type="dxa" w:w="19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Lesson completion, auto-promotion</w:t>
            </w:r>
          </w:p>
        </w:tc>
        <w:tc>
          <w:tcPr>
            <w:tcW w:type="dxa" w:w="33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data-design.md (StudentLessonCompletion, StudentRankProgress); low-level-design.md (PromotionService)</w:t>
            </w:r>
          </w:p>
        </w:tc>
        <w:tc>
          <w:tcPr>
            <w:tcW w:type="dxa" w:w="13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TC-001, TC-003</w:t>
            </w:r>
          </w:p>
        </w:tc>
        <w:tc>
          <w:tcPr>
            <w:tcW w:type="dxa" w:w="10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Designed</w:t>
            </w:r>
          </w:p>
        </w:tc>
      </w:tr>
      <w:tr>
        <w:tc>
          <w:tcPr>
            <w:tcW w:type="dxa" w:w="15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BR-002 Curriculum management</w:t>
            </w:r>
          </w:p>
        </w:tc>
        <w:tc>
          <w:tcPr>
            <w:tcW w:type="dxa" w:w="19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Propose/approve/reject/resubmit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data-design.md (LessonChangeProposal); low-level-design.md (LessonProposalService)</w:t>
            </w:r>
          </w:p>
        </w:tc>
        <w:tc>
          <w:tcPr>
            <w:tcW w:type="dxa" w:w="13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TC-004, TC-005</w:t>
            </w:r>
          </w:p>
        </w:tc>
        <w:tc>
          <w:tcPr>
            <w:tcW w:type="dxa" w:w="10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Designed</w:t>
            </w:r>
          </w:p>
        </w:tc>
      </w:tr>
      <w:tr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BR-003 Safeguarding &amp; consent</w:t>
            </w:r>
          </w:p>
        </w:tc>
        <w:tc>
          <w:tcPr>
            <w:tcW w:type="dxa" w:w="19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FR-001-FR-005: annual consent, DBS, expiry blocking, guardian-link verification, read-audit logging</w:t>
            </w:r>
          </w:p>
        </w:tc>
        <w:tc>
          <w:tcPr>
            <w:tcW w:type="dxa" w:w="33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data-design.md (ConsentRecord, ConsentSensitiveDetails, DbsCheck, StudentGuardianLink, SensitiveDataAccessLog); low-level-design.md (ConsentExpiryJob, IMaterializationInterceptor); ADR-0002, ADR-0004</w:t>
            </w:r>
          </w:p>
        </w:tc>
        <w:tc>
          <w:tcPr>
            <w:tcW w:type="dxa" w:w="13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TC-002, TC-009, TC-011, TC-012, TC-013, TC-014</w:t>
            </w:r>
          </w:p>
        </w:tc>
        <w:tc>
          <w:tcPr>
            <w:tcW w:type="dxa" w:w="10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Designed</w:t>
            </w:r>
          </w:p>
        </w:tc>
      </w:tr>
      <w:tr>
        <w:tc>
          <w:tcPr>
            <w:tcW w:type="dxa" w:w="15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BR-004 Certificates &amp; badges</w:t>
            </w:r>
          </w:p>
        </w:tc>
        <w:tc>
          <w:tcPr>
            <w:tcW w:type="dxa" w:w="19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Auto-generated PDF, tracked badge records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data-design.md (Certificate, RankBadge, StudentBadge); low-level-design.md (CertificateService)</w:t>
            </w:r>
          </w:p>
        </w:tc>
        <w:tc>
          <w:tcPr>
            <w:tcW w:type="dxa" w:w="13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TC-001, TC-003</w:t>
            </w:r>
          </w:p>
        </w:tc>
        <w:tc>
          <w:tcPr>
            <w:tcW w:type="dxa" w:w="10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Designed</w:t>
            </w:r>
          </w:p>
        </w:tc>
      </w:tr>
      <w:tr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BR-005 Parent engagement</w:t>
            </w:r>
          </w:p>
        </w:tc>
        <w:tc>
          <w:tcPr>
            <w:tcW w:type="dxa" w:w="19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Dashboard + notifications</w:t>
            </w:r>
          </w:p>
        </w:tc>
        <w:tc>
          <w:tcPr>
            <w:tcW w:type="dxa" w:w="33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low-level-design.md (NotificationService)</w:t>
            </w:r>
          </w:p>
        </w:tc>
        <w:tc>
          <w:tcPr>
            <w:tcW w:type="dxa" w:w="13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TC-006, TC-013</w:t>
            </w:r>
          </w:p>
        </w:tc>
        <w:tc>
          <w:tcPr>
            <w:tcW w:type="dxa" w:w="10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Designed</w:t>
            </w:r>
          </w:p>
        </w:tc>
      </w:tr>
      <w:tr>
        <w:tc>
          <w:tcPr>
            <w:tcW w:type="dxa" w:w="15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BR-006 Reporting</w:t>
            </w:r>
          </w:p>
        </w:tc>
        <w:tc>
          <w:tcPr>
            <w:tcW w:type="dxa" w:w="19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Core reports + at-risk flagging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low-level-design.md (ConsentExpiryJob at-risk sweep)</w:t>
            </w:r>
          </w:p>
        </w:tc>
        <w:tc>
          <w:tcPr>
            <w:tcW w:type="dxa" w:w="13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TC-010</w:t>
            </w:r>
          </w:p>
        </w:tc>
        <w:tc>
          <w:tcPr>
            <w:tcW w:type="dxa" w:w="10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Designed</w:t>
            </w:r>
          </w:p>
        </w:tc>
      </w:tr>
      <w:tr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NFR-001 Access control / PII</w:t>
            </w:r>
          </w:p>
        </w:tc>
        <w:tc>
          <w:tcPr>
            <w:tcW w:type="dxa" w:w="19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Role-based + resource-based authorization, DBS/ConsentSensitiveDetails whole-entity restriction, read audit log</w:t>
            </w:r>
          </w:p>
        </w:tc>
        <w:tc>
          <w:tcPr>
            <w:tcW w:type="dxa" w:w="33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low-level-design.md (authorization model); ADR-0002; ADR-0004</w:t>
            </w:r>
          </w:p>
        </w:tc>
        <w:tc>
          <w:tcPr>
            <w:tcW w:type="dxa" w:w="13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TC-006, TC-007, TC-008, TC-011, TC-014</w:t>
            </w:r>
          </w:p>
        </w:tc>
        <w:tc>
          <w:tcPr>
            <w:tcW w:type="dxa" w:w="10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Designed</w:t>
            </w:r>
          </w:p>
        </w:tc>
      </w:tr>
      <w:tr>
        <w:tc>
          <w:tcPr>
            <w:tcW w:type="dxa" w:w="15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NFR-002 Accessibility</w:t>
            </w:r>
          </w:p>
        </w:tc>
        <w:tc>
          <w:tcPr>
            <w:tcW w:type="dxa" w:w="19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WCAG 2.2 AA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— (applies across UI)</w:t>
            </w:r>
          </w:p>
        </w:tc>
        <w:tc>
          <w:tcPr>
            <w:tcW w:type="dxa" w:w="13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(accessibility test pass)</w:t>
            </w:r>
          </w:p>
        </w:tc>
        <w:tc>
          <w:tcPr>
            <w:tcW w:type="dxa" w:w="10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Planned</w:t>
            </w:r>
          </w:p>
        </w:tc>
      </w:tr>
      <w:tr>
        <w:tc>
          <w:tcPr>
            <w:tcW w:type="dxa" w:w="15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NFR-003 Availability</w:t>
            </w:r>
          </w:p>
        </w:tc>
        <w:tc>
          <w:tcPr>
            <w:tcW w:type="dxa" w:w="19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Best-effort</w:t>
            </w:r>
          </w:p>
        </w:tc>
        <w:tc>
          <w:tcPr>
            <w:tcW w:type="dxa" w:w="33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ADR-0001 (App Service tier)</w:t>
            </w:r>
          </w:p>
        </w:tc>
        <w:tc>
          <w:tcPr>
            <w:tcW w:type="dxa" w:w="1300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026"/>
            <w:shd w:val="clear" w:color="auto" w:fill="F3F4F6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Accepted, not test-gated</w:t>
            </w:r>
          </w:p>
        </w:tc>
      </w:tr>
      <w:tr>
        <w:tc>
          <w:tcPr>
            <w:tcW w:type="dxa" w:w="15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NFR-004 Compatibility</w:t>
            </w:r>
          </w:p>
        </w:tc>
        <w:tc>
          <w:tcPr>
            <w:tcW w:type="dxa" w:w="19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Named browser/OS/PWA target</w:t>
            </w:r>
          </w:p>
        </w:tc>
        <w:tc>
          <w:tcPr>
            <w:tcW w:type="dxa" w:w="33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ADR-0001 (Blazor)</w:t>
            </w:r>
          </w:p>
        </w:tc>
        <w:tc>
          <w:tcPr>
            <w:tcW w:type="dxa" w:w="1300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—</w:t>
            </w:r>
          </w:p>
        </w:tc>
        <w:tc>
          <w:tcPr>
            <w:tcW w:type="dxa" w:w="1026"/>
            <w:shd w:val="clear" w:color="auto" w:fill="FFFFFF"/>
          </w:tcPr>
          <w:p>
            <w:pPr>
              <w:spacing w:after="40" w:before="40"/>
            </w:pPr>
            <w:r>
              <w:rPr>
                <w:rFonts w:ascii="Arial" w:hAnsi="Arial"/>
                <w:sz w:val="20"/>
              </w:rPr>
              <w:t>Accepted, not test-gated at design gate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560" w:footer="5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6" w:val="right"/>
      </w:tabs>
    </w:pPr>
    <w:r>
      <w:rPr>
        <w:rFonts w:ascii="Arial" w:hAnsi="Arial"/>
        <w:color w:val="6B7280"/>
        <w:sz w:val="16"/>
      </w:rPr>
      <w:t>VLMS Requirements Traceability Matrix</w:t>
      <w:tab/>
    </w:r>
    <w:r>
      <w:rPr>
        <w:rFonts w:ascii="Arial" w:hAnsi="Arial"/>
        <w:color w:val="6B7280"/>
        <w:sz w:val="16"/>
      </w:rPr>
      <w:t xml:space="preserve">Page </w:t>
    </w:r>
    <w:r>
      <w:rPr>
        <w:rFonts w:ascii="Arial" w:hAnsi="Arial"/>
        <w:color w:val="6B7280"/>
        <w:sz w:val="16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0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