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200"/>
      </w:pPr>
      <w:r>
        <w:rPr>
          <w:rFonts w:ascii="Arial" w:hAnsi="Arial"/>
          <w:b/>
          <w:i w:val="0"/>
          <w:color w:val="1F2937"/>
          <w:sz w:val="48"/>
        </w:rPr>
        <w:t>VLMS Security &amp; Compliance Assessment</w:t>
      </w:r>
    </w:p>
    <w:p>
      <w:pPr>
        <w:spacing w:after="40" w:before="0"/>
      </w:pPr>
      <w:r>
        <w:rPr>
          <w:rFonts w:ascii="Arial" w:hAnsi="Arial"/>
          <w:b w:val="0"/>
          <w:i w:val="0"/>
          <w:color w:val="374151"/>
          <w:sz w:val="24"/>
        </w:rPr>
        <w:t>Varangians LMS — Design Gate (Light)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4513"/>
        <w:gridCol w:w="4513"/>
      </w:tblGrid>
      <w:tr>
        <w:tc>
          <w:tcPr>
            <w:tcW w:type="dxa" w:w="24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662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Document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VLMS Security &amp; Compliance Assessment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Document code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VLMS-SEC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Version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1.3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Status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Light — design gate; completed at delivery gate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Date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Author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Reviewers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 (sole reviewer / approver)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Approver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[TBC]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Scope / phase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Design gate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Related documents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governance/security-compliance.md</w:t>
            </w:r>
          </w:p>
        </w:tc>
      </w:tr>
    </w:tbl>
    <w:p>
      <w:pPr>
        <w:spacing w:after="80"/>
      </w:pPr>
    </w:p>
    <w:p>
      <w:pPr>
        <w:keepNext/>
        <w:spacing w:before="200" w:after="80"/>
        <w:outlineLvl w:val="1"/>
      </w:pPr>
      <w:r>
        <w:rPr>
          <w:rFonts w:ascii="Arial" w:hAnsi="Arial"/>
          <w:b/>
          <w:color w:val="1F2937"/>
          <w:sz w:val="26"/>
        </w:rPr>
        <w:t>Change History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115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15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Date</w:t>
            </w:r>
          </w:p>
        </w:tc>
        <w:tc>
          <w:tcPr>
            <w:tcW w:type="dxa" w:w="27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Author</w:t>
            </w:r>
          </w:p>
        </w:tc>
        <w:tc>
          <w:tcPr>
            <w:tcW w:type="dxa" w:w="367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Summary</w:t>
            </w:r>
          </w:p>
        </w:tc>
      </w:tr>
      <w:tr>
        <w:tc>
          <w:tcPr>
            <w:tcW w:type="dxa" w:w="115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5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  <w:tc>
          <w:tcPr>
            <w:tcW w:type="dxa" w:w="27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  <w:tc>
          <w:tcPr>
            <w:tcW w:type="dxa" w:w="367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Initial design gate release, rendered from docs/ working markdown.</w:t>
            </w:r>
          </w:p>
        </w:tc>
      </w:tr>
      <w:tr>
        <w:tc>
          <w:tcPr>
            <w:tcW w:type="dxa" w:w="115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15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  <w:tc>
          <w:tcPr>
            <w:tcW w:type="dxa" w:w="27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  <w:tc>
          <w:tcPr>
            <w:tcW w:type="dxa" w:w="367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Re-render addressing design-gate review: DPIA screening outcome now tracked as a named delivery-gate exit criterion; deletion mechanism decided (interim: manual, Admin-triggered); added guardian-link verification control; access-control section now cites the ADR-0004 enforcement mechanism.</w:t>
            </w:r>
          </w:p>
        </w:tc>
      </w:tr>
      <w:tr>
        <w:tc>
          <w:tcPr>
            <w:tcW w:type="dxa" w:w="115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1.2</w:t>
            </w:r>
          </w:p>
        </w:tc>
        <w:tc>
          <w:tcPr>
            <w:tcW w:type="dxa" w:w="15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  <w:tc>
          <w:tcPr>
            <w:tcW w:type="dxa" w:w="27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  <w:tc>
          <w:tcPr>
            <w:tcW w:type="dxa" w:w="367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Re-render addressing a real technical defect caught at second design review: section 3 rewritten around the ConsentRecord/ConsentSensitiveDetails entity split (the original column-level masking mechanism could not be enforced by the EF Core global query filter chosen for it); section 5 adds SensitiveDataAccessLog tamper protection (database-level DENY) and 6-year retention, and confirms the hard-delete decision (previously TBC). DPIA tracking remains cross-referenced to raid.md D-003 as a dated/owned item.</w:t>
            </w:r>
          </w:p>
        </w:tc>
      </w:tr>
      <w:tr>
        <w:tc>
          <w:tcPr>
            <w:tcW w:type="dxa" w:w="115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1.3</w:t>
            </w:r>
          </w:p>
        </w:tc>
        <w:tc>
          <w:tcPr>
            <w:tcW w:type="dxa" w:w="15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  <w:tc>
          <w:tcPr>
            <w:tcW w:type="dxa" w:w="27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  <w:tc>
          <w:tcPr>
            <w:tcW w:type="dxa" w:w="367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Re-render addressing third design-gate review (Important finding, now fixed): section 3's enforcement-mechanism bullet renamed from DbCommandInterceptor to IMaterializationInterceptor — the corrected mechanism fires once per materialized entity with direct typed access, correct even across EF's compiled-query cache, whereas DbCommandInterceptor operated on raw SQL with no reliable typed EntityId (ADR-0004).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Contents</w:t>
      </w:r>
    </w:p>
    <w:p>
      <w:fldSimple w:instr="TOC \o &quot;1-2&quot; \h \z \u">
        <w:r>
          <w:t>Right-click and choose "Update Field" to build the contents.</w:t>
        </w:r>
      </w:fldSimple>
    </w:p>
    <w:p>
      <w:r>
        <w:br w:type="page"/>
      </w:r>
    </w:p>
    <w:p>
      <w:pPr>
        <w:spacing w:after="120" w:before="0"/>
      </w:pPr>
      <w:r>
        <w:rPr>
          <w:rFonts w:ascii="Arial" w:hAnsi="Arial"/>
          <w:b w:val="0"/>
          <w:i/>
          <w:sz w:val="22"/>
        </w:rPr>
        <w:t>Satisfies: ISO/IEC 27001:2022; UK GDPR / Data Protection Act 2018. This is a control document, not legal advice.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1. Data classification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The system manages safeguarding/consent data directly: medical information, photo/media consent, dietary/SEN data, DBS (Disclosure and Barring Service) check records, emergency contact details. This is special-category and children's personal data.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2. Regulatory obligations identified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UK GDPR / Data Protection Act 2018 obligations apply directly (lawful basis, special-category conditions, retention/deletion, data subject rights, likely a DPIA). Confirmed: no external governing body/regulator (e.g. diocese, national youth-org policy) imposes rules beyond general UK law — general UK GDPR/DPA 2018 and safeguarding good practice is the applicable bar.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3. High-level threat considerations / access control by role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DbsCheck records — whole-record access restricted to Admin and Safeguarding Officer only. Teacher and Approver have no access, not even a masked view.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ConsentSensitiveDetails (medical, dietary/SEN, emergency contact) — split out from ConsentRecord at second design review, since these can't be column-masked on a row Teacher otherwise needs (an EF Core global query filter can only include/exclude a whole row). Visible only to Admin and Safeguarding Officer. ConsentRecord itself (status/expiry, non-sensitive) remains readable by Teacher/Approver.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The Approver role is scoped to curriculum/lesson-change approval only — it carries no safeguarding, consent, or DBS privileges (a discovery correction: the Approver role must not be conflated with consent/safeguarding sign-off).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Consent record approval (ConsentRecord.ApprovedByUserId) is performed by Safeguarding Officer or Admin, not by the Approver role.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Guardian-link verification: a StudentGuardianLink is only ever created by Admin/Teacher at student registration, never by parent self-service — closing a gap where Entra External ID's self-service sign-up would otherwise let a parent claim an unverified relationship to a child before accessing their medical/consent data (design/data-design.md). The Admin/Teacher verifies this through the same enrolment channel already used for the student (an evidentiary basis, not a separate formal identity-verification process), proportionate to a small, personally-known membership.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Enforcement mechanism (revised at second design review; audit-write mechanism corrected again at the third, ADR-0004): whole-entity access control on DbsCheck and ConsentSensitiveDetails via EF Core global query filters configured on the DbContext, keyed by caller role; bypass requires an explicit IgnoreQueryFilters() call. Audit logging of reads (not just writes) of these two entities is written via an IMaterializationInterceptor registered globally on the DbContext — its InitializedInstance hook fires once per materialized entity, giving direct typed access and firing correctly per row even across EF's compiled-query cache; a named, structural write mechanism, not a per-call convention. Confirmed as NFR-001 (requirements/non-functional.md).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4. DPIA screening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Given the special-category and children's data in scope, a DPIA is likely required. The screening outcome against ICO guidance is tracked directly as a dated, owned item — D-003 in governance/raid.md (Owner: Philip; Due: before go-live) — not left as an undated forward reference. A full DPIA is itself a delivery-gate item where processing is confirmed high-risk.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5. Retention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Student records (including consent, medical/dietary/SEN data): retained 3 years from the student leaving/graduating the programme. DbsCheck records: retained 6 years after expiry or the teacher leaving.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Deletion enforcement — interim decision: manual, Admin-triggered deletion via a 'records due for deletion' report, once a record passes its retention period. Full automated purge is deferred as an acceptable trade-off at solo-maintainer/tens-of-users scale.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Hard delete vs anonymisation — decided (previously [TBC], resolved at second design review): hard delete. Simpler to reason about and implement solo, avoids the anonymisation-adequacy question under UK GDPR, and nothing in scope needs retained-but-anonymised historical data. Owner can override if historical trend reporting later matters.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SensitiveDataAccessLog (the audit trail itself) is retained 6 years independent of the referenced record's own retention, and is tamper-protected at the database permission level (UPDATE/DELETE denied via SQL Server DENY on the application's database principal), not just an application convention.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560" w:footer="5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26" w:val="right"/>
      </w:tabs>
    </w:pPr>
    <w:r>
      <w:rPr>
        <w:rFonts w:ascii="Arial" w:hAnsi="Arial"/>
        <w:color w:val="6B7280"/>
        <w:sz w:val="16"/>
      </w:rPr>
      <w:t>VLMS Security &amp; Compliance Assessment</w:t>
      <w:tab/>
    </w:r>
    <w:r>
      <w:rPr>
        <w:rFonts w:ascii="Arial" w:hAnsi="Arial"/>
        <w:color w:val="6B7280"/>
        <w:sz w:val="16"/>
      </w:rPr>
      <w:t xml:space="preserve">Page </w:t>
    </w:r>
    <w:r>
      <w:rPr>
        <w:rFonts w:ascii="Arial" w:hAnsi="Arial"/>
        <w:color w:val="6B7280"/>
        <w:sz w:val="16"/>
      </w:rP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20202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