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200"/>
      </w:pPr>
      <w:r>
        <w:rPr>
          <w:rFonts w:ascii="Arial" w:hAnsi="Arial"/>
          <w:b/>
          <w:i w:val="0"/>
          <w:color w:val="1F2937"/>
          <w:sz w:val="48"/>
        </w:rPr>
        <w:t>VLMS Software Requirements Specification</w:t>
      </w:r>
    </w:p>
    <w:p>
      <w:pPr>
        <w:spacing w:after="40" w:before="0"/>
      </w:pPr>
      <w:r>
        <w:rPr>
          <w:rFonts w:ascii="Arial" w:hAnsi="Arial"/>
          <w:b w:val="0"/>
          <w:i w:val="0"/>
          <w:color w:val="374151"/>
          <w:sz w:val="24"/>
        </w:rPr>
        <w:t>Varangians LMS — Design Gate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7D7D9"/>
          <w:left w:val="single" w:sz="4" w:color="C7D7D9"/>
          <w:bottom w:val="single" w:sz="4" w:color="C7D7D9"/>
          <w:right w:val="single" w:sz="4" w:color="C7D7D9"/>
          <w:insideH w:val="single" w:sz="4" w:color="C7D7D9"/>
          <w:insideV w:val="single" w:sz="4" w:color="C7D7D9"/>
        </w:tblBorders>
      </w:tblPr>
      <w:tblGrid>
        <w:gridCol w:w="4513"/>
        <w:gridCol w:w="4513"/>
      </w:tblGrid>
      <w:tr>
        <w:tc>
          <w:tcPr>
            <w:tcW w:type="dxa" w:w="24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Field</w:t>
            </w:r>
          </w:p>
        </w:tc>
        <w:tc>
          <w:tcPr>
            <w:tcW w:type="dxa" w:w="6626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Document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VLMS Software Requirements Specification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Document code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VLMS-SRS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Version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1.3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Status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Design gate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Date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17 July 2026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Author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Reviewers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 (sole reviewer / approver)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Approver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[TBC]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Scope / phase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Design gate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Related documents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functional.md, acceptance-criteria.md, integration.md</w:t>
            </w:r>
          </w:p>
        </w:tc>
      </w:tr>
    </w:tbl>
    <w:p>
      <w:pPr>
        <w:spacing w:after="80"/>
      </w:pPr>
    </w:p>
    <w:p>
      <w:pPr>
        <w:keepNext/>
        <w:spacing w:before="200" w:after="80"/>
        <w:outlineLvl w:val="1"/>
      </w:pPr>
      <w:r>
        <w:rPr>
          <w:rFonts w:ascii="Arial" w:hAnsi="Arial"/>
          <w:b/>
          <w:color w:val="1F2937"/>
          <w:sz w:val="26"/>
        </w:rPr>
        <w:t>Change History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7D7D9"/>
          <w:left w:val="single" w:sz="4" w:color="C7D7D9"/>
          <w:bottom w:val="single" w:sz="4" w:color="C7D7D9"/>
          <w:right w:val="single" w:sz="4" w:color="C7D7D9"/>
          <w:insideH w:val="single" w:sz="4" w:color="C7D7D9"/>
          <w:insideV w:val="single" w:sz="4" w:color="C7D7D9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115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Version</w:t>
            </w:r>
          </w:p>
        </w:tc>
        <w:tc>
          <w:tcPr>
            <w:tcW w:type="dxa" w:w="15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Date</w:t>
            </w:r>
          </w:p>
        </w:tc>
        <w:tc>
          <w:tcPr>
            <w:tcW w:type="dxa" w:w="27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Author</w:t>
            </w:r>
          </w:p>
        </w:tc>
        <w:tc>
          <w:tcPr>
            <w:tcW w:type="dxa" w:w="3676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Summary</w:t>
            </w:r>
          </w:p>
        </w:tc>
      </w:tr>
      <w:tr>
        <w:tc>
          <w:tcPr>
            <w:tcW w:type="dxa" w:w="115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5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17 July 2026</w:t>
            </w:r>
          </w:p>
        </w:tc>
        <w:tc>
          <w:tcPr>
            <w:tcW w:type="dxa" w:w="27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</w:t>
            </w:r>
          </w:p>
        </w:tc>
        <w:tc>
          <w:tcPr>
            <w:tcW w:type="dxa" w:w="367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Initial design gate release, rendered from docs/ working markdown.</w:t>
            </w:r>
          </w:p>
        </w:tc>
      </w:tr>
      <w:tr>
        <w:tc>
          <w:tcPr>
            <w:tcW w:type="dxa" w:w="115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15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17 July 2026</w:t>
            </w:r>
          </w:p>
        </w:tc>
        <w:tc>
          <w:tcPr>
            <w:tcW w:type="dxa" w:w="27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</w:t>
            </w:r>
          </w:p>
        </w:tc>
        <w:tc>
          <w:tcPr>
            <w:tcW w:type="dxa" w:w="367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Re-render addressing design-gate review: functional.md now assigns discrete FR-001–FR-005 to the safeguarding/consent module (previously narrative bullets); functional requirements section updated accordingly.</w:t>
            </w:r>
          </w:p>
        </w:tc>
      </w:tr>
      <w:tr>
        <w:tc>
          <w:tcPr>
            <w:tcW w:type="dxa" w:w="115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1.2</w:t>
            </w:r>
          </w:p>
        </w:tc>
        <w:tc>
          <w:tcPr>
            <w:tcW w:type="dxa" w:w="15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17 July 2026</w:t>
            </w:r>
          </w:p>
        </w:tc>
        <w:tc>
          <w:tcPr>
            <w:tcW w:type="dxa" w:w="27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</w:t>
            </w:r>
          </w:p>
        </w:tc>
        <w:tc>
          <w:tcPr>
            <w:tcW w:type="dxa" w:w="367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Re-render addressing second design-gate review: FR-005 annotated to reflect that the sensitive fields it covers now live in the dedicated ConsentSensitiveDetails entity (ADR-0004), not on ConsentRecord itself; data requirements (section 6) and reporting/audit requirements (section 7) updated for the entity split; FR-002 acceptance criteria updated to note TC-007 also verifies ConsentRecord.Status/ExpiryDate remain readable to Teacher.</w:t>
            </w:r>
          </w:p>
        </w:tc>
      </w:tr>
      <w:tr>
        <w:tc>
          <w:tcPr>
            <w:tcW w:type="dxa" w:w="115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1.3</w:t>
            </w:r>
          </w:p>
        </w:tc>
        <w:tc>
          <w:tcPr>
            <w:tcW w:type="dxa" w:w="15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17 July 2026</w:t>
            </w:r>
          </w:p>
        </w:tc>
        <w:tc>
          <w:tcPr>
            <w:tcW w:type="dxa" w:w="27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</w:t>
            </w:r>
          </w:p>
        </w:tc>
        <w:tc>
          <w:tcPr>
            <w:tcW w:type="dxa" w:w="367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Re-render addressing third design-gate review (Important finding, now fixed): the read-audit write mechanism named in FR-005's acceptance criteria and section 7 corrected from DbCommandInterceptor to an IMaterializationInterceptor — the pass-2 mechanism operated on raw SQL/DbDataReader with no reliable typed EntityId; the corrected mechanism fires once per materialized entity with direct typed access, correct even across EF's compiled-query cache (ADR-0004).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Contents</w:t>
      </w:r>
    </w:p>
    <w:p>
      <w:fldSimple w:instr="TOC \o &quot;1-2&quot; \h \z \u">
        <w:r>
          <w:t>Right-click and choose "Update Field" to build the contents.</w:t>
        </w:r>
      </w:fldSimple>
    </w:p>
    <w:p>
      <w:r>
        <w:br w:type="page"/>
      </w:r>
    </w:p>
    <w:p>
      <w:pPr>
        <w:spacing w:after="120" w:before="0"/>
      </w:pPr>
      <w:r>
        <w:rPr>
          <w:rFonts w:ascii="Arial" w:hAnsi="Arial"/>
          <w:b w:val="0"/>
          <w:i/>
          <w:sz w:val="22"/>
        </w:rPr>
        <w:t>Satisfies: ISO/IEC/IEEE 29148:2018 — requirements must be singular, verifiable and unambiguous.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1. System purpose and context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VLMS is a standalone .NET application — no integration is required with any existing membership/payments/calendar/booking system (integration.md). Outbound transactional email is required as a generic capability (Azure Communication Services Email, per ADR-0001), not as an integration with a specific existing platform.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2. User personas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Admin/Leader, Teacher, Approver (curriculum/lesson-change approval only), Parent/Guardian, Student, Safeguarding Officer (safeguarding/consent/DBS oversight). See VLMS-BRD section 4 for role detail.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3. Functional requirements</w:t>
      </w:r>
    </w:p>
    <w:p>
      <w:pPr>
        <w:keepNext/>
        <w:spacing w:before="200" w:after="80"/>
        <w:outlineLvl w:val="1"/>
      </w:pPr>
      <w:r>
        <w:rPr>
          <w:rFonts w:ascii="Arial" w:hAnsi="Arial"/>
          <w:b/>
          <w:color w:val="1F2937"/>
          <w:sz w:val="26"/>
        </w:rPr>
        <w:t>3.1 Curriculum management (→ BR-002)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Any Teacher can propose a change to a lesson (content edit, new lesson, retire a lesson).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Only the Approver role can sign off/approve a proposed change before it goes live.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Review is ad hoc only — no scheduled/termly review prompt.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Rejection supports comments and resubmission: the Approver can leave feedback on a rejected proposal, and the Teacher can revise and resubmit the same proposal.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[TBC – owner: Philip] Discrete FR-nnn numbering has not yet been assigned to this area (functional.md).</w:t>
      </w:r>
    </w:p>
    <w:p>
      <w:pPr>
        <w:keepNext/>
        <w:spacing w:before="200" w:after="80"/>
        <w:outlineLvl w:val="1"/>
      </w:pPr>
      <w:r>
        <w:rPr>
          <w:rFonts w:ascii="Arial" w:hAnsi="Arial"/>
          <w:b/>
          <w:color w:val="1F2937"/>
          <w:sz w:val="26"/>
        </w:rPr>
        <w:t>3.2 Progress tracking (→ BR-001, BR-004)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Auto-promotion: a student is automatically promoted to the next rank once every active lesson in their current rank is complete.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Certificates (per lesson completion) and badges (per rank promotion) are real tracked records with an audit trail of who received what and when.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The Teacher marks a lesson complete and can self-correct/reverse their own entry within a reasonable window — no separate Admin correction gate. An optional evidence/note field is available.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Certificates are auto-generated PDF documents (from a template) at completion time — not just a database record.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[TBC – owner: Philip] Certificate delivery mechanism (download from dashboard vs emailed automatically) is not yet decided (functional.md). Discrete FR-nnn numbering has not yet been assigned to this area.</w:t>
      </w:r>
    </w:p>
    <w:p>
      <w:pPr>
        <w:keepNext/>
        <w:spacing w:before="200" w:after="80"/>
        <w:outlineLvl w:val="1"/>
      </w:pPr>
      <w:r>
        <w:rPr>
          <w:rFonts w:ascii="Arial" w:hAnsi="Arial"/>
          <w:b/>
          <w:color w:val="1F2937"/>
          <w:sz w:val="26"/>
        </w:rPr>
        <w:t>3.3 Safeguarding &amp; consent (→ BR-003)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Discrete FR-nnn numbering assigned here specifically, given the safeguarding weight of this module (per design review). Each of FR-001 to FR-005 traces to BR-003 (VLMS-RTM).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Design-level correction carried forward from ADR-0004 (not a change to these requirements' scope, but essential context for reading FR-002/FR-005 correctly): the sensitive fields referred to below now live in a dedicated ConsentSensitiveDetails entity, split out from ConsentRecord, because an EF Core global query filter can restrict a whole row but cannot mask individual columns within a row a role (Teacher) otherwise legitimately needs.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7D7D9"/>
          <w:left w:val="single" w:sz="4" w:color="C7D7D9"/>
          <w:bottom w:val="single" w:sz="4" w:color="C7D7D9"/>
          <w:right w:val="single" w:sz="4" w:color="C7D7D9"/>
          <w:insideH w:val="single" w:sz="4" w:color="C7D7D9"/>
          <w:insideV w:val="single" w:sz="4" w:color="C7D7D9"/>
        </w:tblBorders>
      </w:tblPr>
      <w:tblGrid>
        <w:gridCol w:w="3009"/>
        <w:gridCol w:w="3009"/>
        <w:gridCol w:w="3009"/>
      </w:tblGrid>
      <w:tr>
        <w:tc>
          <w:tcPr>
            <w:tcW w:type="dxa" w:w="9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FR</w:t>
            </w:r>
          </w:p>
        </w:tc>
        <w:tc>
          <w:tcPr>
            <w:tcW w:type="dxa" w:w="39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Requirement</w:t>
            </w:r>
          </w:p>
        </w:tc>
        <w:tc>
          <w:tcPr>
            <w:tcW w:type="dxa" w:w="4226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Acceptance criteria</w:t>
            </w:r>
          </w:p>
        </w:tc>
      </w:tr>
      <w:tr>
        <w:tc>
          <w:tcPr>
            <w:tcW w:type="dxa" w:w="9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FR-001</w:t>
            </w:r>
          </w:p>
        </w:tc>
        <w:tc>
          <w:tcPr>
            <w:tcW w:type="dxa" w:w="39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Annual parental consent record per student covering photo/media consent, emergency medical info, dietary/SEN needs, transport/off-site trip consent, and data-sharing consent. Approved by Safeguarding Officer or Admin only.</w:t>
            </w:r>
          </w:p>
        </w:tc>
        <w:tc>
          <w:tcPr>
            <w:tcW w:type="dxa" w:w="42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 ConsentRecord cannot be approved by any role other than Safeguarding Officer or Admin; all five consent areas are captured on one annual record per student (the medical/dietary-SEN/emergency-contact areas are held on the linked ConsentSensitiveDetails row).</w:t>
            </w:r>
          </w:p>
        </w:tc>
      </w:tr>
      <w:tr>
        <w:tc>
          <w:tcPr>
            <w:tcW w:type="dxa" w:w="9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FR-002</w:t>
            </w:r>
          </w:p>
        </w:tc>
        <w:tc>
          <w:tcPr>
            <w:tcW w:type="dxa" w:w="39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DBS check tracking for teachers. Whole-record access restricted to Admin and Safeguarding Officer only — Teacher and Approver have no access.</w:t>
            </w:r>
          </w:p>
        </w:tc>
        <w:tc>
          <w:tcPr>
            <w:tcW w:type="dxa" w:w="42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Any attempt by Teacher/Approver to read a DbsCheck record is denied at the data-access layer (VLMS-LLD authorization model); verified by TC-007, which also confirms Teacher can still read the same student's ConsentRecord.Status/ExpiryDate.</w:t>
            </w:r>
          </w:p>
        </w:tc>
      </w:tr>
      <w:tr>
        <w:tc>
          <w:tcPr>
            <w:tcW w:type="dxa" w:w="9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FR-003</w:t>
            </w:r>
          </w:p>
        </w:tc>
        <w:tc>
          <w:tcPr>
            <w:tcW w:type="dxa" w:w="39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Expiry monitoring: consent and DBS expiry are tracked with escalating alerts; expired consent blocks lesson completion for that student until renewed.</w:t>
            </w:r>
          </w:p>
        </w:tc>
        <w:tc>
          <w:tcPr>
            <w:tcW w:type="dxa" w:w="42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StudentLessonCompletion creation is blocked while the student's active ConsentRecord is expired or missing; verified by TC-002, TC-009.</w:t>
            </w:r>
          </w:p>
        </w:tc>
      </w:tr>
      <w:tr>
        <w:tc>
          <w:tcPr>
            <w:tcW w:type="dxa" w:w="9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FR-004</w:t>
            </w:r>
          </w:p>
        </w:tc>
        <w:tc>
          <w:tcPr>
            <w:tcW w:type="dxa" w:w="39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 StudentGuardianLink is created only by Admin/Teacher at student registration — never by parent self-service — before a parent can access any progress, medical, or consent data for that child.</w:t>
            </w:r>
          </w:p>
        </w:tc>
        <w:tc>
          <w:tcPr>
            <w:tcW w:type="dxa" w:w="42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No UI or API path exists for a parent to create or claim a StudentGuardianLink; verified by TC-012.</w:t>
            </w:r>
          </w:p>
        </w:tc>
      </w:tr>
      <w:tr>
        <w:tc>
          <w:tcPr>
            <w:tcW w:type="dxa" w:w="9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FR-005</w:t>
            </w:r>
          </w:p>
        </w:tc>
        <w:tc>
          <w:tcPr>
            <w:tcW w:type="dxa" w:w="39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Every read of a DbsCheck record, or of a ConsentRecord's sensitive fields, is written to an audit log (who, what, when).</w:t>
            </w:r>
          </w:p>
        </w:tc>
        <w:tc>
          <w:tcPr>
            <w:tcW w:type="dxa" w:w="42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 SensitiveDataAccessLog row is created on every such read of DbsCheck or ConsentSensitiveDetails (the entity the sensitive fields referred to here now live on, per ADR-0004), written via an IMaterializationInterceptor registered on the DbContext (fires once per materialized entity, direct typed access, correct even across EF's compiled-query cache); includes read-only report/export access, and a multi-row read (e.g. several DbsCheck records listed at once) writes one entry per row; verified by TC-011.</w:t>
            </w:r>
          </w:p>
        </w:tc>
      </w:tr>
    </w:tbl>
    <w:p>
      <w:pPr>
        <w:spacing w:after="80"/>
      </w:pPr>
    </w:p>
    <w:p>
      <w:pPr>
        <w:keepNext/>
        <w:spacing w:before="200" w:after="80"/>
        <w:outlineLvl w:val="1"/>
      </w:pPr>
      <w:r>
        <w:rPr>
          <w:rFonts w:ascii="Arial" w:hAnsi="Arial"/>
          <w:b/>
          <w:color w:val="1F2937"/>
          <w:sz w:val="26"/>
        </w:rPr>
        <w:t>3.4 Parent engagement (→ BR-005)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Parents get both an in-app dashboard (view own child's progress, certificates, badges) AND proactive notifications (e.g. email on lesson completion/rank promotion, consent-expiry reminders) — not dashboard-only.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[TBC – owner: Philip] Discrete FR-nnn numbering has not yet been assigned to this area.</w:t>
      </w:r>
    </w:p>
    <w:p>
      <w:pPr>
        <w:keepNext/>
        <w:spacing w:before="200" w:after="80"/>
        <w:outlineLvl w:val="1"/>
      </w:pPr>
      <w:r>
        <w:rPr>
          <w:rFonts w:ascii="Arial" w:hAnsi="Arial"/>
          <w:b/>
          <w:color w:val="1F2937"/>
          <w:sz w:val="26"/>
        </w:rPr>
        <w:t>3.5 Reporting (→ BR-006)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Core progress reports: rank/completion stats, promotion history.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At-risk/disengaged student flagging: no lesson completions within 8 weeks, surfaced to Admin for proactive follow-up.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[TBC – owner: Philip] Discrete FR-nnn numbering has not yet been assigned to this area.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4. Business rules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Auto-promotion rule: all active lessons in the current rank complete → promote; at the final rank, Student.Status becomes Graduated instead of advancing further.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Consent-expiry blocking rule (hard business rule): expired or missing consent blocks lesson completion. This check reads only the non-sensitive ConsentRecord fields (Status/ExpiryDate) — it never reads ConsentSensitiveDetails.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The Approver role's remit is curriculum/lesson-change approval only; it has no role in consent or DBS approval.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A single user may hold more than one role (e.g. a Teacher who is also the Approver) — data-design.md (UserRole).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5. Interface requirements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None — VLMS is standalone; no external system integration is required (integration.md). Outbound email only, as a generic transactional-email capability, not integration with a specific platform.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6. Data requirements (entities, ownership, migration scope)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Entities: see VLMS-LLD section 2 for the full data model (Rank, Lesson, LessonChangeProposal, Student, ParentGuardian, StudentGuardianLink, StudentLessonCompletion, Certificate, RankBadge, StudentBadge, StudentRankProgress, ConsentRecord, ConsentSensitiveDetails, DbsCheck, AppUser, UserRole, SensitiveDataAccessLog). ConsentRecord and ConsentSensitiveDetails are two entities, in a 1:1 relationship, since a second design review found that the original single-entity, column-masked design could not be enforced by the EF Core global query filter mechanism chosen for it (ADR-0004).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Ownership: this database is the sole system of record — no external source of truth (integration.md).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Migration: none — clean start; no historical spreadsheet data is migrated (A-003, VLMS-RAID).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7. Reporting and audit requirements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Core progress reports and at-risk flagging (section 3.5). Audit requirements: certificates/badges as tracked records with an audit trail of who received what and when; SensitiveDataAccessLog for every read of DbsCheck/ConsentSensitiveDetails (FR-005), written by an IMaterializationInterceptor and retained 6 years with UPDATE/DELETE denied at the database permission level (ADR-0004).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560" w:footer="5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26" w:val="right"/>
      </w:tabs>
    </w:pPr>
    <w:r>
      <w:rPr>
        <w:rFonts w:ascii="Arial" w:hAnsi="Arial"/>
        <w:color w:val="6B7280"/>
        <w:sz w:val="16"/>
      </w:rPr>
      <w:t>VLMS Software Requirements Specification</w:t>
      <w:tab/>
    </w:r>
    <w:r>
      <w:rPr>
        <w:rFonts w:ascii="Arial" w:hAnsi="Arial"/>
        <w:color w:val="6B7280"/>
        <w:sz w:val="16"/>
      </w:rPr>
      <w:t xml:space="preserve">Page </w:t>
    </w:r>
    <w:r>
      <w:rPr>
        <w:rFonts w:ascii="Arial" w:hAnsi="Arial"/>
        <w:color w:val="6B7280"/>
        <w:sz w:val="16"/>
      </w:rP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20202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