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200"/>
      </w:pPr>
      <w:r>
        <w:rPr>
          <w:rFonts w:ascii="Arial" w:hAnsi="Arial"/>
          <w:b/>
          <w:i w:val="0"/>
          <w:color w:val="1F2937"/>
          <w:sz w:val="48"/>
        </w:rPr>
        <w:t>VLMS Architecture Decision Records</w:t>
      </w:r>
    </w:p>
    <w:p>
      <w:pPr>
        <w:spacing w:after="40" w:before="0"/>
      </w:pPr>
      <w:r>
        <w:rPr>
          <w:rFonts w:ascii="Arial" w:hAnsi="Arial"/>
          <w:b w:val="0"/>
          <w:i w:val="0"/>
          <w:color w:val="374151"/>
          <w:sz w:val="24"/>
        </w:rPr>
        <w:t>Varangians LMS – Delivery Gate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2400"/>
            <w:shd w:val="clear" w:color="auto" w:fill="374151"/>
          </w:tcPr>
          <w:p>
            <w:pPr>
              <w:spacing w:after="40" w:before="40"/>
            </w:pPr>
            <w:r>
              <w:rPr>
                <w:rFonts w:ascii="Arial" w:hAnsi="Arial"/>
                <w:b/>
                <w:color w:val="FFFFFF"/>
                <w:sz w:val="20"/>
              </w:rPr>
              <w:t>Field</w:t>
            </w:r>
          </w:p>
        </w:tc>
        <w:tc>
          <w:tcPr>
            <w:tcW w:type="dxa" w:w="6626"/>
            <w:shd w:val="clear" w:color="auto" w:fill="374151"/>
          </w:tcPr>
          <w:p>
            <w:pPr>
              <w:spacing w:after="40" w:before="40"/>
            </w:pPr>
            <w:r>
              <w:rPr>
                <w:rFonts w:ascii="Arial" w:hAnsi="Arial"/>
                <w:b/>
                <w:color w:val="FFFFFF"/>
                <w:sz w:val="20"/>
              </w:rPr>
              <w:t>Detail</w:t>
            </w:r>
          </w:p>
        </w:tc>
      </w:tr>
      <w:tr>
        <w:tc>
          <w:tcPr>
            <w:tcW w:type="dxa" w:w="2400"/>
            <w:shd w:val="clear" w:color="auto" w:fill="F3F4F6"/>
          </w:tcPr>
          <w:p>
            <w:pPr>
              <w:spacing w:after="40" w:before="40"/>
            </w:pPr>
            <w:r>
              <w:rPr>
                <w:rFonts w:ascii="Arial" w:hAnsi="Arial"/>
                <w:sz w:val="20"/>
              </w:rPr>
              <w:t>Document</w:t>
            </w:r>
          </w:p>
        </w:tc>
        <w:tc>
          <w:tcPr>
            <w:tcW w:type="dxa" w:w="6626"/>
            <w:shd w:val="clear" w:color="auto" w:fill="F3F4F6"/>
          </w:tcPr>
          <w:p>
            <w:pPr>
              <w:spacing w:after="40" w:before="40"/>
            </w:pPr>
            <w:r>
              <w:rPr>
                <w:rFonts w:ascii="Arial" w:hAnsi="Arial"/>
                <w:sz w:val="20"/>
              </w:rPr>
              <w:t>VLMS Architecture Decision Records</w:t>
            </w:r>
          </w:p>
        </w:tc>
      </w:tr>
      <w:tr>
        <w:tc>
          <w:tcPr>
            <w:tcW w:type="dxa" w:w="2400"/>
            <w:shd w:val="clear" w:color="auto" w:fill="FFFFFF"/>
          </w:tcPr>
          <w:p>
            <w:pPr>
              <w:spacing w:after="40" w:before="40"/>
            </w:pPr>
            <w:r>
              <w:rPr>
                <w:rFonts w:ascii="Arial" w:hAnsi="Arial"/>
                <w:sz w:val="20"/>
              </w:rPr>
              <w:t>Document code</w:t>
            </w:r>
          </w:p>
        </w:tc>
        <w:tc>
          <w:tcPr>
            <w:tcW w:type="dxa" w:w="6626"/>
            <w:shd w:val="clear" w:color="auto" w:fill="FFFFFF"/>
          </w:tcPr>
          <w:p>
            <w:pPr>
              <w:spacing w:after="40" w:before="40"/>
            </w:pPr>
            <w:r>
              <w:rPr>
                <w:rFonts w:ascii="Arial" w:hAnsi="Arial"/>
                <w:sz w:val="20"/>
              </w:rPr>
              <w:t>VLMS-ADR</w:t>
            </w:r>
          </w:p>
        </w:tc>
      </w:tr>
      <w:tr>
        <w:tc>
          <w:tcPr>
            <w:tcW w:type="dxa" w:w="2400"/>
            <w:shd w:val="clear" w:color="auto" w:fill="F3F4F6"/>
          </w:tcPr>
          <w:p>
            <w:pPr>
              <w:spacing w:after="40" w:before="40"/>
            </w:pPr>
            <w:r>
              <w:rPr>
                <w:rFonts w:ascii="Arial" w:hAnsi="Arial"/>
                <w:sz w:val="20"/>
              </w:rPr>
              <w:t>Version</w:t>
            </w:r>
          </w:p>
        </w:tc>
        <w:tc>
          <w:tcPr>
            <w:tcW w:type="dxa" w:w="6626"/>
            <w:shd w:val="clear" w:color="auto" w:fill="F3F4F6"/>
          </w:tcPr>
          <w:p>
            <w:pPr>
              <w:spacing w:after="40" w:before="40"/>
            </w:pPr>
            <w:r>
              <w:rPr>
                <w:rFonts w:ascii="Arial" w:hAnsi="Arial"/>
                <w:sz w:val="20"/>
              </w:rPr>
              <w:t>2.0</w:t>
            </w:r>
          </w:p>
        </w:tc>
      </w:tr>
      <w:tr>
        <w:tc>
          <w:tcPr>
            <w:tcW w:type="dxa" w:w="2400"/>
            <w:shd w:val="clear" w:color="auto" w:fill="FFFFFF"/>
          </w:tcPr>
          <w:p>
            <w:pPr>
              <w:spacing w:after="40" w:before="40"/>
            </w:pPr>
            <w:r>
              <w:rPr>
                <w:rFonts w:ascii="Arial" w:hAnsi="Arial"/>
                <w:sz w:val="20"/>
              </w:rPr>
              <w:t>Status</w:t>
            </w:r>
          </w:p>
        </w:tc>
        <w:tc>
          <w:tcPr>
            <w:tcW w:type="dxa" w:w="6626"/>
            <w:shd w:val="clear" w:color="auto" w:fill="FFFFFF"/>
          </w:tcPr>
          <w:p>
            <w:pPr>
              <w:spacing w:after="40" w:before="40"/>
            </w:pPr>
            <w:r>
              <w:rPr>
                <w:rFonts w:ascii="Arial" w:hAnsi="Arial"/>
                <w:sz w:val="20"/>
              </w:rPr>
              <w:t>Delivery gate edition</w:t>
            </w:r>
          </w:p>
        </w:tc>
      </w:tr>
      <w:tr>
        <w:tc>
          <w:tcPr>
            <w:tcW w:type="dxa" w:w="2400"/>
            <w:shd w:val="clear" w:color="auto" w:fill="F3F4F6"/>
          </w:tcPr>
          <w:p>
            <w:pPr>
              <w:spacing w:after="40" w:before="40"/>
            </w:pPr>
            <w:r>
              <w:rPr>
                <w:rFonts w:ascii="Arial" w:hAnsi="Arial"/>
                <w:sz w:val="20"/>
              </w:rPr>
              <w:t>Date</w:t>
            </w:r>
          </w:p>
        </w:tc>
        <w:tc>
          <w:tcPr>
            <w:tcW w:type="dxa" w:w="6626"/>
            <w:shd w:val="clear" w:color="auto" w:fill="F3F4F6"/>
          </w:tcPr>
          <w:p>
            <w:pPr>
              <w:spacing w:after="40" w:before="40"/>
            </w:pPr>
            <w:r>
              <w:rPr>
                <w:rFonts w:ascii="Arial" w:hAnsi="Arial"/>
                <w:sz w:val="20"/>
              </w:rPr>
              <w:t>13 October 2026</w:t>
            </w:r>
          </w:p>
        </w:tc>
      </w:tr>
      <w:tr>
        <w:tc>
          <w:tcPr>
            <w:tcW w:type="dxa" w:w="2400"/>
            <w:shd w:val="clear" w:color="auto" w:fill="FFFFFF"/>
          </w:tcPr>
          <w:p>
            <w:pPr>
              <w:spacing w:after="40" w:before="40"/>
            </w:pPr>
            <w:r>
              <w:rPr>
                <w:rFonts w:ascii="Arial" w:hAnsi="Arial"/>
                <w:sz w:val="20"/>
              </w:rPr>
              <w:t>Author</w:t>
            </w:r>
          </w:p>
        </w:tc>
        <w:tc>
          <w:tcPr>
            <w:tcW w:type="dxa" w:w="6626"/>
            <w:shd w:val="clear" w:color="auto" w:fill="FFFFFF"/>
          </w:tcPr>
          <w:p>
            <w:pPr>
              <w:spacing w:after="40" w:before="40"/>
            </w:pPr>
            <w:r>
              <w:rPr>
                <w:rFonts w:ascii="Arial" w:hAnsi="Arial"/>
                <w:sz w:val="20"/>
              </w:rPr>
              <w:t>Philip</w:t>
            </w:r>
          </w:p>
        </w:tc>
      </w:tr>
      <w:tr>
        <w:tc>
          <w:tcPr>
            <w:tcW w:type="dxa" w:w="2400"/>
            <w:shd w:val="clear" w:color="auto" w:fill="F3F4F6"/>
          </w:tcPr>
          <w:p>
            <w:pPr>
              <w:spacing w:after="40" w:before="40"/>
            </w:pPr>
            <w:r>
              <w:rPr>
                <w:rFonts w:ascii="Arial" w:hAnsi="Arial"/>
                <w:sz w:val="20"/>
              </w:rPr>
              <w:t>Reviewers</w:t>
            </w:r>
          </w:p>
        </w:tc>
        <w:tc>
          <w:tcPr>
            <w:tcW w:type="dxa" w:w="6626"/>
            <w:shd w:val="clear" w:color="auto" w:fill="F3F4F6"/>
          </w:tcPr>
          <w:p>
            <w:pPr>
              <w:spacing w:after="40" w:before="40"/>
            </w:pPr>
            <w:r>
              <w:rPr>
                <w:rFonts w:ascii="Arial" w:hAnsi="Arial"/>
                <w:sz w:val="20"/>
              </w:rPr>
              <w:t>Philip (sole reviewer / approver)</w:t>
            </w:r>
          </w:p>
        </w:tc>
      </w:tr>
      <w:tr>
        <w:tc>
          <w:tcPr>
            <w:tcW w:type="dxa" w:w="2400"/>
            <w:shd w:val="clear" w:color="auto" w:fill="FFFFFF"/>
          </w:tcPr>
          <w:p>
            <w:pPr>
              <w:spacing w:after="40" w:before="40"/>
            </w:pPr>
            <w:r>
              <w:rPr>
                <w:rFonts w:ascii="Arial" w:hAnsi="Arial"/>
                <w:sz w:val="20"/>
              </w:rPr>
              <w:t>Approver</w:t>
            </w:r>
          </w:p>
        </w:tc>
        <w:tc>
          <w:tcPr>
            <w:tcW w:type="dxa" w:w="6626"/>
            <w:shd w:val="clear" w:color="auto" w:fill="FFFFFF"/>
          </w:tcPr>
          <w:p>
            <w:pPr>
              <w:spacing w:after="40" w:before="40"/>
            </w:pPr>
            <w:r>
              <w:rPr>
                <w:rFonts w:ascii="Arial" w:hAnsi="Arial"/>
                <w:sz w:val="20"/>
              </w:rPr>
              <w:t>[TBC]</w:t>
            </w:r>
          </w:p>
        </w:tc>
      </w:tr>
      <w:tr>
        <w:tc>
          <w:tcPr>
            <w:tcW w:type="dxa" w:w="2400"/>
            <w:shd w:val="clear" w:color="auto" w:fill="F3F4F6"/>
          </w:tcPr>
          <w:p>
            <w:pPr>
              <w:spacing w:after="40" w:before="40"/>
            </w:pPr>
            <w:r>
              <w:rPr>
                <w:rFonts w:ascii="Arial" w:hAnsi="Arial"/>
                <w:sz w:val="20"/>
              </w:rPr>
              <w:t>Scope / phase</w:t>
            </w:r>
          </w:p>
        </w:tc>
        <w:tc>
          <w:tcPr>
            <w:tcW w:type="dxa" w:w="6626"/>
            <w:shd w:val="clear" w:color="auto" w:fill="F3F4F6"/>
          </w:tcPr>
          <w:p>
            <w:pPr>
              <w:spacing w:after="40" w:before="40"/>
            </w:pPr>
            <w:r>
              <w:rPr>
                <w:rFonts w:ascii="Arial" w:hAnsi="Arial"/>
                <w:sz w:val="20"/>
              </w:rPr>
              <w:t>Delivery gate (ongoing)</w:t>
            </w:r>
          </w:p>
        </w:tc>
      </w:tr>
      <w:tr>
        <w:tc>
          <w:tcPr>
            <w:tcW w:type="dxa" w:w="2400"/>
            <w:shd w:val="clear" w:color="auto" w:fill="FFFFFF"/>
          </w:tcPr>
          <w:p>
            <w:pPr>
              <w:spacing w:after="40" w:before="40"/>
            </w:pPr>
            <w:r>
              <w:rPr>
                <w:rFonts w:ascii="Arial" w:hAnsi="Arial"/>
                <w:sz w:val="20"/>
              </w:rPr>
              <w:t>Related documents</w:t>
            </w:r>
          </w:p>
        </w:tc>
        <w:tc>
          <w:tcPr>
            <w:tcW w:type="dxa" w:w="6626"/>
            <w:shd w:val="clear" w:color="auto" w:fill="FFFFFF"/>
          </w:tcPr>
          <w:p>
            <w:pPr>
              <w:spacing w:after="40" w:before="40"/>
            </w:pPr>
            <w:r>
              <w:rPr>
                <w:rFonts w:ascii="Arial" w:hAnsi="Arial"/>
                <w:sz w:val="20"/>
              </w:rPr>
              <w:t>docs/adr/0001-technology-stack.md, docs/adr/0002-roles-as-application-claims.md, docs/adr/0003-scheduled-jobs-webjobs.md, docs/adr/0004-sensitive-data-access-control.md, docs/adr/0005-hosting-pivot-self-hosted-vps-postgresql.md</w:t>
            </w:r>
          </w:p>
        </w:tc>
      </w:tr>
    </w:tbl>
    <w:p>
      <w:pPr>
        <w:spacing w:after="80"/>
      </w:pPr>
    </w:p>
    <w:p>
      <w:pPr>
        <w:keepNext/>
        <w:spacing w:before="200" w:after="80"/>
        <w:outlineLvl w:val="1"/>
      </w:pPr>
      <w:r>
        <w:rPr>
          <w:rFonts w:ascii="Arial" w:hAnsi="Arial"/>
          <w:b/>
          <w:color w:val="1F2937"/>
          <w:sz w:val="26"/>
        </w:rPr>
        <w:t>Change History</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2256"/>
        <w:gridCol w:w="2256"/>
        <w:gridCol w:w="2256"/>
        <w:gridCol w:w="2256"/>
      </w:tblGrid>
      <w:tr>
        <w:tc>
          <w:tcPr>
            <w:tcW w:type="dxa" w:w="1150"/>
            <w:shd w:val="clear" w:color="auto" w:fill="374151"/>
          </w:tcPr>
          <w:p>
            <w:pPr>
              <w:spacing w:after="40" w:before="40"/>
            </w:pPr>
            <w:r>
              <w:rPr>
                <w:rFonts w:ascii="Arial" w:hAnsi="Arial"/>
                <w:b/>
                <w:color w:val="FFFFFF"/>
                <w:sz w:val="20"/>
              </w:rPr>
              <w:t>Version</w:t>
            </w:r>
          </w:p>
        </w:tc>
        <w:tc>
          <w:tcPr>
            <w:tcW w:type="dxa" w:w="1500"/>
            <w:shd w:val="clear" w:color="auto" w:fill="374151"/>
          </w:tcPr>
          <w:p>
            <w:pPr>
              <w:spacing w:after="40" w:before="40"/>
            </w:pPr>
            <w:r>
              <w:rPr>
                <w:rFonts w:ascii="Arial" w:hAnsi="Arial"/>
                <w:b/>
                <w:color w:val="FFFFFF"/>
                <w:sz w:val="20"/>
              </w:rPr>
              <w:t>Date</w:t>
            </w:r>
          </w:p>
        </w:tc>
        <w:tc>
          <w:tcPr>
            <w:tcW w:type="dxa" w:w="2700"/>
            <w:shd w:val="clear" w:color="auto" w:fill="374151"/>
          </w:tcPr>
          <w:p>
            <w:pPr>
              <w:spacing w:after="40" w:before="40"/>
            </w:pPr>
            <w:r>
              <w:rPr>
                <w:rFonts w:ascii="Arial" w:hAnsi="Arial"/>
                <w:b/>
                <w:color w:val="FFFFFF"/>
                <w:sz w:val="20"/>
              </w:rPr>
              <w:t>Author</w:t>
            </w:r>
          </w:p>
        </w:tc>
        <w:tc>
          <w:tcPr>
            <w:tcW w:type="dxa" w:w="3676"/>
            <w:shd w:val="clear" w:color="auto" w:fill="374151"/>
          </w:tcPr>
          <w:p>
            <w:pPr>
              <w:spacing w:after="40" w:before="40"/>
            </w:pPr>
            <w:r>
              <w:rPr>
                <w:rFonts w:ascii="Arial" w:hAnsi="Arial"/>
                <w:b/>
                <w:color w:val="FFFFFF"/>
                <w:sz w:val="20"/>
              </w:rPr>
              <w:t>Summary</w:t>
            </w:r>
          </w:p>
        </w:tc>
      </w:tr>
      <w:tr>
        <w:tc>
          <w:tcPr>
            <w:tcW w:type="dxa" w:w="1150"/>
            <w:shd w:val="clear" w:color="auto" w:fill="F3F4F6"/>
          </w:tcPr>
          <w:p>
            <w:pPr>
              <w:spacing w:after="40" w:before="40"/>
            </w:pPr>
            <w:r>
              <w:rPr>
                <w:rFonts w:ascii="Arial" w:hAnsi="Arial"/>
                <w:sz w:val="20"/>
              </w:rPr>
              <w:t>2.0</w:t>
            </w:r>
          </w:p>
        </w:tc>
        <w:tc>
          <w:tcPr>
            <w:tcW w:type="dxa" w:w="1500"/>
            <w:shd w:val="clear" w:color="auto" w:fill="F3F4F6"/>
          </w:tcPr>
          <w:p>
            <w:pPr>
              <w:spacing w:after="40" w:before="40"/>
            </w:pPr>
            <w:r>
              <w:rPr>
                <w:rFonts w:ascii="Arial" w:hAnsi="Arial"/>
                <w:sz w:val="20"/>
              </w:rPr>
              <w:t>13 October 2026</w:t>
            </w:r>
          </w:p>
        </w:tc>
        <w:tc>
          <w:tcPr>
            <w:tcW w:type="dxa" w:w="2700"/>
            <w:shd w:val="clear" w:color="auto" w:fill="F3F4F6"/>
          </w:tcPr>
          <w:p>
            <w:pPr>
              <w:spacing w:after="40" w:before="40"/>
            </w:pPr>
            <w:r>
              <w:rPr>
                <w:rFonts w:ascii="Arial" w:hAnsi="Arial"/>
                <w:sz w:val="20"/>
              </w:rPr>
              <w:t>Philip</w:t>
            </w:r>
          </w:p>
        </w:tc>
        <w:tc>
          <w:tcPr>
            <w:tcW w:type="dxa" w:w="3676"/>
            <w:shd w:val="clear" w:color="auto" w:fill="F3F4F6"/>
          </w:tcPr>
          <w:p>
            <w:pPr>
              <w:spacing w:after="40" w:before="40"/>
            </w:pPr>
            <w:r>
              <w:rPr>
                <w:rFonts w:ascii="Arial" w:hAnsi="Arial"/>
                <w:sz w:val="20"/>
              </w:rPr>
              <w:t>Delivery gate edition, rendered from docs/ working markdown (supersedes design gate edition where one exists).</w:t>
            </w:r>
          </w:p>
        </w:tc>
      </w:tr>
    </w:tbl>
    <w:p>
      <w:pPr>
        <w:spacing w:after="80"/>
      </w:pPr>
    </w:p>
    <w:p>
      <w:r>
        <w:br w:type="page"/>
      </w:r>
    </w:p>
    <w:p>
      <w:pPr>
        <w:keepNext/>
        <w:spacing w:before="280" w:after="120"/>
        <w:outlineLvl w:val="0"/>
      </w:pPr>
      <w:r>
        <w:rPr>
          <w:rFonts w:ascii="Arial" w:hAnsi="Arial"/>
          <w:b/>
          <w:color w:val="111827"/>
          <w:sz w:val="32"/>
        </w:rPr>
        <w:t>Contents</w:t>
      </w:r>
    </w:p>
    <w:p>
      <w:fldSimple w:instr="TOC \o &quot;1-2&quot; \h \z \u">
        <w:r>
          <w:t>Right-click and choose "Update Field" to build the contents.</w:t>
        </w:r>
      </w:fldSimple>
    </w:p>
    <w:p>
      <w:r>
        <w:br w:type="page"/>
      </w:r>
    </w:p>
    <w:p>
      <w:pPr>
        <w:keepNext/>
        <w:spacing w:before="280" w:after="120"/>
        <w:outlineLvl w:val="0"/>
      </w:pPr>
      <w:r>
        <w:rPr>
          <w:rFonts w:ascii="Arial" w:hAnsi="Arial"/>
          <w:b/>
          <w:color w:val="111827"/>
          <w:sz w:val="32"/>
        </w:rPr>
        <w:t>Standards and Conformance</w:t>
      </w:r>
    </w:p>
    <w:p>
      <w:pPr>
        <w:spacing w:after="120" w:before="0"/>
      </w:pPr>
      <w:r>
        <w:rPr>
          <w:rFonts w:ascii="Arial" w:hAnsi="Arial"/>
          <w:b w:val="0"/>
          <w:i w:val="0"/>
          <w:sz w:val="22"/>
        </w:rPr>
        <w:t>This document satisfies or is consistent with: Architecture Decision Records (Nygard / MADR).</w:t>
      </w:r>
    </w:p>
    <w:p>
      <w:pPr>
        <w:spacing w:after="120" w:before="0"/>
      </w:pPr>
      <w:r>
        <w:rPr>
          <w:rFonts w:ascii="Arial" w:hAnsi="Arial"/>
          <w:b w:val="0"/>
          <w:i/>
          <w:sz w:val="20"/>
        </w:rPr>
        <w:t>Generated from the working markdown listed in Related documents; the markdown is authoritative. Status of source material is reproduced as written in each source.</w:t>
      </w:r>
    </w:p>
    <w:p>
      <w:pPr>
        <w:keepNext/>
        <w:spacing w:before="280" w:after="120"/>
        <w:outlineLvl w:val="0"/>
      </w:pPr>
      <w:r>
        <w:rPr>
          <w:rFonts w:ascii="Arial" w:hAnsi="Arial"/>
          <w:b/>
          <w:color w:val="111827"/>
          <w:sz w:val="32"/>
        </w:rPr>
        <w:t>0001 - Technology stack: Blazor + Azure</w:t>
      </w:r>
    </w:p>
    <w:p>
      <w:pPr>
        <w:keepNext/>
        <w:spacing w:before="200" w:after="80"/>
        <w:outlineLvl w:val="1"/>
      </w:pPr>
      <w:r>
        <w:rPr>
          <w:rFonts w:ascii="Arial" w:hAnsi="Arial"/>
          <w:b/>
          <w:color w:val="1F2937"/>
          <w:sz w:val="26"/>
        </w:rPr>
        <w:t>Status</w:t>
      </w:r>
    </w:p>
    <w:p>
      <w:pPr>
        <w:spacing w:after="80"/>
      </w:pPr>
      <w:r>
        <w:rPr>
          <w:rFonts w:ascii="Arial" w:hAnsi="Arial"/>
          <w:sz w:val="22"/>
        </w:rPr>
        <w:t xml:space="preserve">Partially superseded by </w:t>
      </w:r>
      <w:r>
        <w:rPr>
          <w:rFonts w:ascii="Consolas" w:hAnsi="Consolas"/>
          <w:rFonts w:ascii="Consolas" w:hAnsi="Consolas"/>
          <w:sz w:val="20"/>
        </w:rPr>
        <w:t>adr/0005-hosting-pivot-self-hosted-vps-postgresql.md</w:t>
      </w:r>
      <w:r>
        <w:rPr>
          <w:rFonts w:ascii="Arial" w:hAnsi="Arial"/>
          <w:sz w:val="22"/>
        </w:rPr>
        <w:t xml:space="preserve"> (Hosting, Database, Identity, File storage, Email rows). Client (Blazor Web App) and PDF generation (QuestPDF) rows remain in effect.</w:t>
      </w:r>
    </w:p>
    <w:p>
      <w:pPr>
        <w:keepNext/>
        <w:spacing w:before="200" w:after="80"/>
        <w:outlineLvl w:val="1"/>
      </w:pPr>
      <w:r>
        <w:rPr>
          <w:rFonts w:ascii="Arial" w:hAnsi="Arial"/>
          <w:b/>
          <w:color w:val="1F2937"/>
          <w:sz w:val="26"/>
        </w:rPr>
        <w:t>Context</w:t>
      </w:r>
    </w:p>
    <w:p>
      <w:pPr>
        <w:spacing w:after="80"/>
      </w:pPr>
      <w:r>
        <w:rPr>
          <w:rFonts w:ascii="Arial" w:hAnsi="Arial"/>
          <w:sz w:val="22"/>
        </w:rPr>
        <w:t xml:space="preserve">VLMS is a fresh .NET rebuild of a previously abandoned Power Platform-based implementation (SharePoint, Power Apps, Dataverse, Power Automate, Asana). The prior tooling is deliberately not being reused. Requirements (see </w:t>
      </w:r>
      <w:r>
        <w:rPr>
          <w:rFonts w:ascii="Consolas" w:hAnsi="Consolas"/>
          <w:rFonts w:ascii="Consolas" w:hAnsi="Consolas"/>
          <w:sz w:val="20"/>
        </w:rPr>
        <w:t>docs/requirements/</w:t>
      </w:r>
      <w:r>
        <w:rPr>
          <w:rFonts w:ascii="Arial" w:hAnsi="Arial"/>
          <w:sz w:val="22"/>
        </w:rPr>
        <w:t>):</w:t>
      </w:r>
    </w:p>
    <w:p>
      <w:pPr>
        <w:spacing w:after="40"/>
        <w:ind w:left="620" w:hanging="260"/>
      </w:pPr>
      <w:r>
        <w:rPr>
          <w:rFonts w:ascii="Arial" w:hAnsi="Arial"/>
          <w:sz w:val="22"/>
        </w:rPr>
        <w:t xml:space="preserve">•  </w:t>
      </w:r>
      <w:r>
        <w:rPr>
          <w:rFonts w:ascii="Arial" w:hAnsi="Arial"/>
          <w:sz w:val="22"/>
        </w:rPr>
        <w:t>Must be accessible via phone, tablet, and browser.</w:t>
      </w:r>
    </w:p>
    <w:p>
      <w:pPr>
        <w:spacing w:after="40"/>
        <w:ind w:left="620" w:hanging="260"/>
      </w:pPr>
      <w:r>
        <w:rPr>
          <w:rFonts w:ascii="Arial" w:hAnsi="Arial"/>
          <w:sz w:val="22"/>
        </w:rPr>
        <w:t xml:space="preserve">•  </w:t>
      </w:r>
      <w:r>
        <w:rPr>
          <w:rFonts w:ascii="Arial" w:hAnsi="Arial"/>
          <w:sz w:val="22"/>
        </w:rPr>
        <w:t>Solo developer, no dedicated ops team, must minimise ongoing maintenance burden.</w:t>
      </w:r>
    </w:p>
    <w:p>
      <w:pPr>
        <w:spacing w:after="40"/>
        <w:ind w:left="620" w:hanging="260"/>
      </w:pPr>
      <w:r>
        <w:rPr>
          <w:rFonts w:ascii="Arial" w:hAnsi="Arial"/>
          <w:sz w:val="22"/>
        </w:rPr>
        <w:t xml:space="preserve">•  </w:t>
      </w:r>
      <w:r>
        <w:rPr>
          <w:rFonts w:ascii="Arial" w:hAnsi="Arial"/>
          <w:sz w:val="22"/>
        </w:rPr>
        <w:t>Small scale: tens of users per role (Admin, Teacher, Approver, Parent/Guardian, Student, Safeguarding Officer), not hundreds/thousands.</w:t>
      </w:r>
    </w:p>
    <w:p>
      <w:pPr>
        <w:spacing w:after="40"/>
        <w:ind w:left="620" w:hanging="260"/>
      </w:pPr>
      <w:r>
        <w:rPr>
          <w:rFonts w:ascii="Arial" w:hAnsi="Arial"/>
          <w:sz w:val="22"/>
        </w:rPr>
        <w:t xml:space="preserve">•  </w:t>
      </w:r>
      <w:r>
        <w:rPr>
          <w:rFonts w:ascii="Arial" w:hAnsi="Arial"/>
          <w:sz w:val="22"/>
        </w:rPr>
        <w:t>No hard budget ceiling, but a stated preference for low ongoing hosting cost.</w:t>
      </w:r>
    </w:p>
    <w:p>
      <w:pPr>
        <w:spacing w:after="40"/>
        <w:ind w:left="620" w:hanging="260"/>
      </w:pPr>
      <w:r>
        <w:rPr>
          <w:rFonts w:ascii="Arial" w:hAnsi="Arial"/>
          <w:sz w:val="22"/>
        </w:rPr>
        <w:t xml:space="preserve">•  </w:t>
      </w:r>
      <w:r>
        <w:rPr>
          <w:rFonts w:ascii="Arial" w:hAnsi="Arial"/>
          <w:sz w:val="22"/>
        </w:rPr>
        <w:t xml:space="preserve">Manages special-category/children's personal data (safeguarding, medical, consent, DBS) — see </w:t>
      </w:r>
      <w:r>
        <w:rPr>
          <w:rFonts w:ascii="Consolas" w:hAnsi="Consolas"/>
          <w:rFonts w:ascii="Consolas" w:hAnsi="Consolas"/>
          <w:sz w:val="20"/>
        </w:rPr>
        <w:t>governance/security-compliance.md</w:t>
      </w:r>
      <w:r>
        <w:rPr>
          <w:rFonts w:ascii="Arial" w:hAnsi="Arial"/>
          <w:sz w:val="22"/>
        </w:rPr>
        <w:t>.</w:t>
      </w:r>
    </w:p>
    <w:p>
      <w:pPr>
        <w:spacing w:after="40"/>
        <w:ind w:left="620" w:hanging="260"/>
      </w:pPr>
      <w:r>
        <w:rPr>
          <w:rFonts w:ascii="Arial" w:hAnsi="Arial"/>
          <w:sz w:val="22"/>
        </w:rPr>
        <w:t xml:space="preserve">•  </w:t>
      </w:r>
      <w:r>
        <w:rPr>
          <w:rFonts w:ascii="Arial" w:hAnsi="Arial"/>
          <w:sz w:val="22"/>
        </w:rPr>
        <w:t>Standalone system: no integration with an existing membership/payments/calendar platform; only needs outbound transactional email.</w:t>
      </w:r>
    </w:p>
    <w:p>
      <w:pPr>
        <w:spacing w:after="40"/>
        <w:ind w:left="620" w:hanging="260"/>
      </w:pPr>
      <w:r>
        <w:rPr>
          <w:rFonts w:ascii="Arial" w:hAnsi="Arial"/>
          <w:sz w:val="22"/>
        </w:rPr>
        <w:t xml:space="preserve">•  </w:t>
      </w:r>
      <w:r>
        <w:rPr>
          <w:rFonts w:ascii="Arial" w:hAnsi="Arial"/>
          <w:sz w:val="22"/>
        </w:rPr>
        <w:t>Certificates are auto-generated PDF documents.</w:t>
      </w:r>
    </w:p>
    <w:p>
      <w:pPr>
        <w:keepNext/>
        <w:spacing w:before="200" w:after="80"/>
        <w:outlineLvl w:val="1"/>
      </w:pPr>
      <w:r>
        <w:rPr>
          <w:rFonts w:ascii="Arial" w:hAnsi="Arial"/>
          <w:b/>
          <w:color w:val="1F2937"/>
          <w:sz w:val="26"/>
        </w:rPr>
        <w:t>Decision</w:t>
      </w:r>
    </w:p>
    <w:p>
      <w:pPr>
        <w:spacing w:after="80"/>
      </w:pPr>
      <w:r>
        <w:rPr>
          <w:rFonts w:ascii="Arial" w:hAnsi="Arial"/>
          <w:sz w:val="22"/>
        </w:rPr>
        <w:t>Adopt the following stack:</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4513"/>
        <w:gridCol w:w="4513"/>
      </w:tblGrid>
      <w:tr>
        <w:tc>
          <w:tcPr>
            <w:tcW w:type="dxa" w:w="2145"/>
            <w:shd w:val="clear" w:color="auto" w:fill="374151"/>
          </w:tcPr>
          <w:p>
            <w:pPr>
              <w:spacing w:after="40" w:before="40"/>
            </w:pPr>
            <w:r>
              <w:rPr>
                <w:rFonts w:ascii="Arial" w:hAnsi="Arial"/>
                <w:b/>
                <w:color w:val="FFFFFF"/>
                <w:sz w:val="20"/>
              </w:rPr>
              <w:t>Concern</w:t>
            </w:r>
          </w:p>
        </w:tc>
        <w:tc>
          <w:tcPr>
            <w:tcW w:type="dxa" w:w="6881"/>
            <w:shd w:val="clear" w:color="auto" w:fill="374151"/>
          </w:tcPr>
          <w:p>
            <w:pPr>
              <w:spacing w:after="40" w:before="40"/>
            </w:pPr>
            <w:r>
              <w:rPr>
                <w:rFonts w:ascii="Arial" w:hAnsi="Arial"/>
                <w:b/>
                <w:color w:val="FFFFFF"/>
                <w:sz w:val="20"/>
              </w:rPr>
              <w:t>Choice</w:t>
            </w:r>
          </w:p>
        </w:tc>
      </w:tr>
      <w:tr>
        <w:tc>
          <w:tcPr>
            <w:tcW w:type="dxa" w:w="2145"/>
            <w:shd w:val="clear" w:color="auto" w:fill="F3F4F6"/>
          </w:tcPr>
          <w:p>
            <w:pPr>
              <w:spacing w:after="40" w:before="40"/>
            </w:pPr>
            <w:r>
              <w:rPr>
                <w:rFonts w:ascii="Arial" w:hAnsi="Arial"/>
                <w:sz w:val="20"/>
              </w:rPr>
              <w:t>Client</w:t>
            </w:r>
          </w:p>
        </w:tc>
        <w:tc>
          <w:tcPr>
            <w:tcW w:type="dxa" w:w="6881"/>
            <w:shd w:val="clear" w:color="auto" w:fill="F3F4F6"/>
          </w:tcPr>
          <w:p>
            <w:pPr>
              <w:spacing w:after="40" w:before="40"/>
            </w:pPr>
            <w:r>
              <w:rPr>
                <w:rFonts w:ascii="Arial" w:hAnsi="Arial"/>
                <w:sz w:val="20"/>
              </w:rPr>
              <w:t>Blazor Web App (.NET), responsive, PWA-installable</w:t>
            </w:r>
          </w:p>
        </w:tc>
      </w:tr>
      <w:tr>
        <w:tc>
          <w:tcPr>
            <w:tcW w:type="dxa" w:w="2145"/>
            <w:shd w:val="clear" w:color="auto" w:fill="FFFFFF"/>
          </w:tcPr>
          <w:p>
            <w:pPr>
              <w:spacing w:after="40" w:before="40"/>
            </w:pPr>
            <w:r>
              <w:rPr>
                <w:rFonts w:ascii="Arial" w:hAnsi="Arial"/>
                <w:sz w:val="20"/>
              </w:rPr>
              <w:t>Hosting</w:t>
            </w:r>
          </w:p>
        </w:tc>
        <w:tc>
          <w:tcPr>
            <w:tcW w:type="dxa" w:w="6881"/>
            <w:shd w:val="clear" w:color="auto" w:fill="FFFFFF"/>
          </w:tcPr>
          <w:p>
            <w:pPr>
              <w:spacing w:after="40" w:before="40"/>
            </w:pPr>
            <w:r>
              <w:rPr>
                <w:rFonts w:ascii="Arial" w:hAnsi="Arial"/>
                <w:sz w:val="20"/>
              </w:rPr>
              <w:t>Azure App Service (Linux), Basic (B1) tier initially</w:t>
            </w:r>
          </w:p>
        </w:tc>
      </w:tr>
      <w:tr>
        <w:tc>
          <w:tcPr>
            <w:tcW w:type="dxa" w:w="2145"/>
            <w:shd w:val="clear" w:color="auto" w:fill="F3F4F6"/>
          </w:tcPr>
          <w:p>
            <w:pPr>
              <w:spacing w:after="40" w:before="40"/>
            </w:pPr>
            <w:r>
              <w:rPr>
                <w:rFonts w:ascii="Arial" w:hAnsi="Arial"/>
                <w:sz w:val="20"/>
              </w:rPr>
              <w:t>Database</w:t>
            </w:r>
          </w:p>
        </w:tc>
        <w:tc>
          <w:tcPr>
            <w:tcW w:type="dxa" w:w="6881"/>
            <w:shd w:val="clear" w:color="auto" w:fill="F3F4F6"/>
          </w:tcPr>
          <w:p>
            <w:pPr>
              <w:spacing w:after="40" w:before="40"/>
            </w:pPr>
            <w:r>
              <w:rPr>
                <w:rFonts w:ascii="Arial" w:hAnsi="Arial"/>
                <w:sz w:val="20"/>
              </w:rPr>
              <w:t>Azure SQL Database, Basic/S0 tier initially</w:t>
            </w:r>
          </w:p>
        </w:tc>
      </w:tr>
      <w:tr>
        <w:tc>
          <w:tcPr>
            <w:tcW w:type="dxa" w:w="2145"/>
            <w:shd w:val="clear" w:color="auto" w:fill="FFFFFF"/>
          </w:tcPr>
          <w:p>
            <w:pPr>
              <w:spacing w:after="40" w:before="40"/>
            </w:pPr>
            <w:r>
              <w:rPr>
                <w:rFonts w:ascii="Arial" w:hAnsi="Arial"/>
                <w:sz w:val="20"/>
              </w:rPr>
              <w:t>Identity</w:t>
            </w:r>
          </w:p>
        </w:tc>
        <w:tc>
          <w:tcPr>
            <w:tcW w:type="dxa" w:w="6881"/>
            <w:shd w:val="clear" w:color="auto" w:fill="FFFFFF"/>
          </w:tcPr>
          <w:p>
            <w:pPr>
              <w:spacing w:after="40" w:before="40"/>
            </w:pPr>
            <w:r>
              <w:rPr>
                <w:rFonts w:ascii="Arial" w:hAnsi="Arial"/>
                <w:sz w:val="20"/>
              </w:rPr>
              <w:t>Microsoft Entra External ID (CIAM) for Teacher/Approver/Parent/Student/Safeguarding Officer/Admin sign-in</w:t>
            </w:r>
          </w:p>
        </w:tc>
      </w:tr>
      <w:tr>
        <w:tc>
          <w:tcPr>
            <w:tcW w:type="dxa" w:w="2145"/>
            <w:shd w:val="clear" w:color="auto" w:fill="F3F4F6"/>
          </w:tcPr>
          <w:p>
            <w:pPr>
              <w:spacing w:after="40" w:before="40"/>
            </w:pPr>
            <w:r>
              <w:rPr>
                <w:rFonts w:ascii="Arial" w:hAnsi="Arial"/>
                <w:sz w:val="20"/>
              </w:rPr>
              <w:t>File storage</w:t>
            </w:r>
          </w:p>
        </w:tc>
        <w:tc>
          <w:tcPr>
            <w:tcW w:type="dxa" w:w="6881"/>
            <w:shd w:val="clear" w:color="auto" w:fill="F3F4F6"/>
          </w:tcPr>
          <w:p>
            <w:pPr>
              <w:spacing w:after="40" w:before="40"/>
            </w:pPr>
            <w:r>
              <w:rPr>
                <w:rFonts w:ascii="Arial" w:hAnsi="Arial"/>
                <w:sz w:val="20"/>
              </w:rPr>
              <w:t>Azure Blob Storage — lesson content assets, generated certificate PDFs</w:t>
            </w:r>
          </w:p>
        </w:tc>
      </w:tr>
      <w:tr>
        <w:tc>
          <w:tcPr>
            <w:tcW w:type="dxa" w:w="2145"/>
            <w:shd w:val="clear" w:color="auto" w:fill="FFFFFF"/>
          </w:tcPr>
          <w:p>
            <w:pPr>
              <w:spacing w:after="40" w:before="40"/>
            </w:pPr>
            <w:r>
              <w:rPr>
                <w:rFonts w:ascii="Arial" w:hAnsi="Arial"/>
                <w:sz w:val="20"/>
              </w:rPr>
              <w:t>Email</w:t>
            </w:r>
          </w:p>
        </w:tc>
        <w:tc>
          <w:tcPr>
            <w:tcW w:type="dxa" w:w="6881"/>
            <w:shd w:val="clear" w:color="auto" w:fill="FFFFFF"/>
          </w:tcPr>
          <w:p>
            <w:pPr>
              <w:spacing w:after="40" w:before="40"/>
            </w:pPr>
            <w:r>
              <w:rPr>
                <w:rFonts w:ascii="Arial" w:hAnsi="Arial"/>
                <w:sz w:val="20"/>
              </w:rPr>
              <w:t>Azure Communication Services Email — transactional email (notifications, expiry reminders)</w:t>
            </w:r>
          </w:p>
        </w:tc>
      </w:tr>
      <w:tr>
        <w:tc>
          <w:tcPr>
            <w:tcW w:type="dxa" w:w="2145"/>
            <w:shd w:val="clear" w:color="auto" w:fill="F3F4F6"/>
          </w:tcPr>
          <w:p>
            <w:pPr>
              <w:spacing w:after="40" w:before="40"/>
            </w:pPr>
            <w:r>
              <w:rPr>
                <w:rFonts w:ascii="Arial" w:hAnsi="Arial"/>
                <w:sz w:val="20"/>
              </w:rPr>
              <w:t>PDF generation</w:t>
            </w:r>
          </w:p>
        </w:tc>
        <w:tc>
          <w:tcPr>
            <w:tcW w:type="dxa" w:w="6881"/>
            <w:shd w:val="clear" w:color="auto" w:fill="F3F4F6"/>
          </w:tcPr>
          <w:p>
            <w:pPr>
              <w:spacing w:after="40" w:before="40"/>
            </w:pPr>
            <w:r>
              <w:rPr>
                <w:rFonts w:ascii="Arial" w:hAnsi="Arial"/>
                <w:sz w:val="20"/>
              </w:rPr>
              <w:t>QuestPDF (open-source .NET library, Community licence)</w:t>
            </w:r>
          </w:p>
        </w:tc>
      </w:tr>
    </w:tbl>
    <w:p>
      <w:pPr>
        <w:spacing w:after="80"/>
      </w:pPr>
    </w:p>
    <w:p>
      <w:pPr>
        <w:keepNext/>
        <w:spacing w:before="200" w:after="80"/>
        <w:outlineLvl w:val="1"/>
      </w:pPr>
      <w:r>
        <w:rPr>
          <w:rFonts w:ascii="Arial" w:hAnsi="Arial"/>
          <w:b/>
          <w:color w:val="1F2937"/>
          <w:sz w:val="26"/>
        </w:rPr>
        <w:t>Alternatives considered</w:t>
      </w:r>
    </w:p>
    <w:p>
      <w:pPr>
        <w:spacing w:after="40"/>
        <w:ind w:left="620" w:hanging="260"/>
      </w:pPr>
      <w:r>
        <w:rPr>
          <w:rFonts w:ascii="Arial" w:hAnsi="Arial"/>
          <w:sz w:val="22"/>
        </w:rPr>
        <w:t xml:space="preserve">•  </w:t>
      </w:r>
      <w:r>
        <w:rPr>
          <w:rFonts w:ascii="Arial" w:hAnsi="Arial"/>
          <w:b/>
          <w:sz w:val="22"/>
        </w:rPr>
        <w:t>Client:</w:t>
      </w:r>
      <w:r>
        <w:rPr>
          <w:rFonts w:ascii="Arial" w:hAnsi="Arial"/>
          <w:sz w:val="22"/>
        </w:rPr>
        <w:t xml:space="preserve"> .NET MAUI native app + separate Web API — rejected: native app-store distribution and update cycles add solo-maintainer overhead disproportionate to a tens-of-users audience; Blazor meets the phone/tablet/browser requirement with one codebase.</w:t>
      </w:r>
    </w:p>
    <w:p>
      <w:pPr>
        <w:spacing w:after="40"/>
        <w:ind w:left="620" w:hanging="260"/>
      </w:pPr>
      <w:r>
        <w:rPr>
          <w:rFonts w:ascii="Arial" w:hAnsi="Arial"/>
          <w:sz w:val="22"/>
        </w:rPr>
        <w:t xml:space="preserve">•  </w:t>
      </w:r>
      <w:r>
        <w:rPr>
          <w:rFonts w:ascii="Arial" w:hAnsi="Arial"/>
          <w:b/>
          <w:sz w:val="22"/>
        </w:rPr>
        <w:t>Identity:</w:t>
      </w:r>
      <w:r>
        <w:rPr>
          <w:rFonts w:ascii="Arial" w:hAnsi="Arial"/>
          <w:sz w:val="22"/>
        </w:rPr>
        <w:t xml:space="preserve"> Azure AD B2C — rejected: retired for new customers as of May 2025 (Microsoft Entra fundamentals (https://learn.microsoft.com/entra/architecture/secure-fundamentals#microsoft-entra-functional-areas)); Entra External ID is Microsoft's current CIAM product (Introduction to Microsoft Entra External ID (https://learn.microsoft.com/entra/external-id/external-identities-overview)). Custom ASP.NET Core Identity — rejected: would require building and maintaining password/MFA/account-recovery flows solo, which Entra External ID provides out of the box.</w:t>
      </w:r>
    </w:p>
    <w:p>
      <w:pPr>
        <w:spacing w:after="40"/>
        <w:ind w:left="620" w:hanging="260"/>
      </w:pPr>
      <w:r>
        <w:rPr>
          <w:rFonts w:ascii="Arial" w:hAnsi="Arial"/>
          <w:sz w:val="22"/>
        </w:rPr>
        <w:t xml:space="preserve">•  </w:t>
      </w:r>
      <w:r>
        <w:rPr>
          <w:rFonts w:ascii="Arial" w:hAnsi="Arial"/>
          <w:b/>
          <w:sz w:val="22"/>
        </w:rPr>
        <w:t>Hosting:</w:t>
      </w:r>
      <w:r>
        <w:rPr>
          <w:rFonts w:ascii="Arial" w:hAnsi="Arial"/>
          <w:sz w:val="22"/>
        </w:rPr>
        <w:t xml:space="preserve"> Azure Container Apps / Functions — rejected for v1: App Service is the simplest operational model for a single Blazor Web App at this scale; can revisit if scale-to-zero cost savings become material.</w:t>
      </w:r>
    </w:p>
    <w:p>
      <w:pPr>
        <w:spacing w:after="40"/>
        <w:ind w:left="620" w:hanging="260"/>
      </w:pPr>
      <w:r>
        <w:rPr>
          <w:rFonts w:ascii="Arial" w:hAnsi="Arial"/>
          <w:sz w:val="22"/>
        </w:rPr>
        <w:t xml:space="preserve">•  </w:t>
      </w:r>
      <w:r>
        <w:rPr>
          <w:rFonts w:ascii="Arial" w:hAnsi="Arial"/>
          <w:b/>
          <w:sz w:val="22"/>
        </w:rPr>
        <w:t>Database:</w:t>
      </w:r>
      <w:r>
        <w:rPr>
          <w:rFonts w:ascii="Arial" w:hAnsi="Arial"/>
          <w:sz w:val="22"/>
        </w:rPr>
        <w:t xml:space="preserve"> Azure Cosmos DB — rejected: the domain is strongly relational (Rank → Lesson → Completion, Student ↔ Parent, Consent approval workflow) and best served by a relational store with EF Core.</w:t>
      </w:r>
    </w:p>
    <w:p>
      <w:pPr>
        <w:spacing w:after="40"/>
        <w:ind w:left="620" w:hanging="260"/>
      </w:pPr>
      <w:r>
        <w:rPr>
          <w:rFonts w:ascii="Arial" w:hAnsi="Arial"/>
          <w:sz w:val="22"/>
        </w:rPr>
        <w:t xml:space="preserve">•  </w:t>
      </w:r>
      <w:r>
        <w:rPr>
          <w:rFonts w:ascii="Arial" w:hAnsi="Arial"/>
          <w:b/>
          <w:sz w:val="22"/>
        </w:rPr>
        <w:t>PDF generation:</w:t>
      </w:r>
      <w:r>
        <w:rPr>
          <w:rFonts w:ascii="Arial" w:hAnsi="Arial"/>
          <w:sz w:val="22"/>
        </w:rPr>
        <w:t xml:space="preserve"> IronPDF, DinkToPdf — QuestPDF chosen for its free Community licence at this scale and native C# fluent API (no HTML/headless-browser dependency).</w:t>
      </w:r>
    </w:p>
    <w:p>
      <w:pPr>
        <w:keepNext/>
        <w:spacing w:before="200" w:after="80"/>
        <w:outlineLvl w:val="1"/>
      </w:pPr>
      <w:r>
        <w:rPr>
          <w:rFonts w:ascii="Arial" w:hAnsi="Arial"/>
          <w:b/>
          <w:color w:val="1F2937"/>
          <w:sz w:val="26"/>
        </w:rPr>
        <w:t>Consequences</w:t>
      </w:r>
    </w:p>
    <w:p>
      <w:pPr>
        <w:spacing w:after="40"/>
        <w:ind w:left="620" w:hanging="260"/>
      </w:pPr>
      <w:r>
        <w:rPr>
          <w:rFonts w:ascii="Arial" w:hAnsi="Arial"/>
          <w:sz w:val="22"/>
        </w:rPr>
        <w:t xml:space="preserve">•  </w:t>
      </w:r>
      <w:r>
        <w:rPr>
          <w:rFonts w:ascii="Arial" w:hAnsi="Arial"/>
          <w:sz w:val="22"/>
        </w:rPr>
        <w:t>All identity/auth work is delegated to Entra External ID; user-role mapping (Admin/Teacher/Approver/Parent/Student/Safeguarding Officer) must be modelled as application-level authorization (e.g. custom claims or app roles), not built from scratch.</w:t>
      </w:r>
    </w:p>
    <w:p>
      <w:pPr>
        <w:spacing w:after="40"/>
        <w:ind w:left="620" w:hanging="260"/>
      </w:pPr>
      <w:r>
        <w:rPr>
          <w:rFonts w:ascii="Arial" w:hAnsi="Arial"/>
          <w:sz w:val="22"/>
        </w:rPr>
        <w:t xml:space="preserve">•  </w:t>
      </w:r>
      <w:r>
        <w:rPr>
          <w:rFonts w:ascii="Arial" w:hAnsi="Arial"/>
          <w:sz w:val="22"/>
        </w:rPr>
        <w:t>QuestPDF is a non-Microsoft dependency; licence terms should be re-checked if the project ever exceeds the Community licence's revenue/org-size threshold.</w:t>
      </w:r>
    </w:p>
    <w:p>
      <w:pPr>
        <w:spacing w:after="40"/>
        <w:ind w:left="620" w:hanging="260"/>
      </w:pPr>
      <w:r>
        <w:rPr>
          <w:rFonts w:ascii="Arial" w:hAnsi="Arial"/>
          <w:sz w:val="22"/>
        </w:rPr>
        <w:t xml:space="preserve">•  </w:t>
      </w:r>
      <w:r>
        <w:rPr>
          <w:rFonts w:ascii="Arial" w:hAnsi="Arial"/>
          <w:sz w:val="22"/>
        </w:rPr>
        <w:t>Azure Communication Services Email requires a verified sending domain before go-live.</w:t>
      </w:r>
    </w:p>
    <w:p>
      <w:pPr>
        <w:spacing w:after="40"/>
        <w:ind w:left="620" w:hanging="260"/>
      </w:pPr>
      <w:r>
        <w:rPr>
          <w:rFonts w:ascii="Arial" w:hAnsi="Arial"/>
          <w:sz w:val="22"/>
        </w:rPr>
        <w:t xml:space="preserve">•  </w:t>
      </w:r>
      <w:r>
        <w:rPr>
          <w:rFonts w:ascii="Arial" w:hAnsi="Arial"/>
          <w:sz w:val="22"/>
        </w:rPr>
        <w:t xml:space="preserve">Starting tiers (App Service B1, SQL Basic/S0) are sized for tens-of-users load; scaling up is a configuration change, not a redesign, if usage grows materially beyond the ~2-year assumption in </w:t>
      </w:r>
      <w:r>
        <w:rPr>
          <w:rFonts w:ascii="Consolas" w:hAnsi="Consolas"/>
          <w:rFonts w:ascii="Consolas" w:hAnsi="Consolas"/>
          <w:sz w:val="20"/>
        </w:rPr>
        <w:t>governance/raid.md</w:t>
      </w:r>
      <w:r>
        <w:rPr>
          <w:rFonts w:ascii="Arial" w:hAnsi="Arial"/>
          <w:sz w:val="22"/>
        </w:rPr>
        <w:t xml:space="preserve"> (A-002).</w:t>
      </w:r>
    </w:p>
    <w:p>
      <w:pPr>
        <w:keepNext/>
        <w:spacing w:before="280" w:after="120"/>
        <w:outlineLvl w:val="0"/>
      </w:pPr>
      <w:r>
        <w:rPr>
          <w:rFonts w:ascii="Arial" w:hAnsi="Arial"/>
          <w:b/>
          <w:color w:val="111827"/>
          <w:sz w:val="32"/>
        </w:rPr>
        <w:t>0002 - User roles modelled as application claims, not native Entra External ID groups</w:t>
      </w:r>
    </w:p>
    <w:p>
      <w:pPr>
        <w:keepNext/>
        <w:spacing w:before="200" w:after="80"/>
        <w:outlineLvl w:val="1"/>
      </w:pPr>
      <w:r>
        <w:rPr>
          <w:rFonts w:ascii="Arial" w:hAnsi="Arial"/>
          <w:b/>
          <w:color w:val="1F2937"/>
          <w:sz w:val="26"/>
        </w:rPr>
        <w:t>Status</w:t>
      </w:r>
    </w:p>
    <w:p>
      <w:pPr>
        <w:spacing w:after="80"/>
      </w:pPr>
      <w:r>
        <w:rPr>
          <w:rFonts w:ascii="Arial" w:hAnsi="Arial"/>
          <w:sz w:val="22"/>
        </w:rPr>
        <w:t>Accepted</w:t>
      </w:r>
    </w:p>
    <w:p>
      <w:pPr>
        <w:keepNext/>
        <w:spacing w:before="200" w:after="80"/>
        <w:outlineLvl w:val="1"/>
      </w:pPr>
      <w:r>
        <w:rPr>
          <w:rFonts w:ascii="Arial" w:hAnsi="Arial"/>
          <w:b/>
          <w:color w:val="1F2937"/>
          <w:sz w:val="26"/>
        </w:rPr>
        <w:t>Context</w:t>
      </w:r>
    </w:p>
    <w:p>
      <w:pPr>
        <w:spacing w:after="80"/>
      </w:pPr>
      <w:r>
        <w:rPr>
          <w:rFonts w:ascii="Arial" w:hAnsi="Arial"/>
          <w:sz w:val="22"/>
        </w:rPr>
        <w:t>VLMS uses Microsoft Entra External ID for authentication (</w:t>
      </w:r>
      <w:r>
        <w:rPr>
          <w:rFonts w:ascii="Consolas" w:hAnsi="Consolas"/>
          <w:rFonts w:ascii="Consolas" w:hAnsi="Consolas"/>
          <w:sz w:val="20"/>
        </w:rPr>
        <w:t>adr/0001-technology-stack.md</w:t>
      </w:r>
      <w:r>
        <w:rPr>
          <w:rFonts w:ascii="Arial" w:hAnsi="Arial"/>
          <w:sz w:val="22"/>
        </w:rPr>
        <w:t>). Six roles exist: Admin, Teacher, Approver, Parent, Student, Safeguarding Officer (</w:t>
      </w:r>
      <w:r>
        <w:rPr>
          <w:rFonts w:ascii="Consolas" w:hAnsi="Consolas"/>
          <w:rFonts w:ascii="Consolas" w:hAnsi="Consolas"/>
          <w:sz w:val="20"/>
        </w:rPr>
        <w:t>requirements/stakeholders.md</w:t>
      </w:r>
      <w:r>
        <w:rPr>
          <w:rFonts w:ascii="Arial" w:hAnsi="Arial"/>
          <w:sz w:val="22"/>
        </w:rPr>
        <w:t xml:space="preserve">). Some authorization decisions are pure role checks (e.g. only Safeguarding Officer/Admin may view </w:t>
      </w:r>
      <w:r>
        <w:rPr>
          <w:rFonts w:ascii="Consolas" w:hAnsi="Consolas"/>
          <w:rFonts w:ascii="Consolas" w:hAnsi="Consolas"/>
          <w:sz w:val="20"/>
        </w:rPr>
        <w:t>DbsCheck</w:t>
      </w:r>
      <w:r>
        <w:rPr>
          <w:rFonts w:ascii="Arial" w:hAnsi="Arial"/>
          <w:sz w:val="22"/>
        </w:rPr>
        <w:t xml:space="preserve">), but others are resource-scoped and role alone cannot express them: a Parent's access is scoped to specific </w:t>
      </w:r>
      <w:r>
        <w:rPr>
          <w:rFonts w:ascii="Consolas" w:hAnsi="Consolas"/>
          <w:rFonts w:ascii="Consolas" w:hAnsi="Consolas"/>
          <w:sz w:val="20"/>
        </w:rPr>
        <w:t>Student</w:t>
      </w:r>
      <w:r>
        <w:rPr>
          <w:rFonts w:ascii="Arial" w:hAnsi="Arial"/>
          <w:sz w:val="22"/>
        </w:rPr>
        <w:t xml:space="preserve"> records via </w:t>
      </w:r>
      <w:r>
        <w:rPr>
          <w:rFonts w:ascii="Consolas" w:hAnsi="Consolas"/>
          <w:rFonts w:ascii="Consolas" w:hAnsi="Consolas"/>
          <w:sz w:val="20"/>
        </w:rPr>
        <w:t>StudentGuardianLink</w:t>
      </w:r>
      <w:r>
        <w:rPr>
          <w:rFonts w:ascii="Arial" w:hAnsi="Arial"/>
          <w:sz w:val="22"/>
        </w:rPr>
        <w:t>, not just "is a Parent" (</w:t>
      </w:r>
      <w:r>
        <w:rPr>
          <w:rFonts w:ascii="Consolas" w:hAnsi="Consolas"/>
          <w:rFonts w:ascii="Consolas" w:hAnsi="Consolas"/>
          <w:sz w:val="20"/>
        </w:rPr>
        <w:t>data-design.md</w:t>
      </w:r>
      <w:r>
        <w:rPr>
          <w:rFonts w:ascii="Arial" w:hAnsi="Arial"/>
          <w:sz w:val="22"/>
        </w:rPr>
        <w:t>).</w:t>
      </w:r>
    </w:p>
    <w:p>
      <w:pPr>
        <w:keepNext/>
        <w:spacing w:before="200" w:after="80"/>
        <w:outlineLvl w:val="1"/>
      </w:pPr>
      <w:r>
        <w:rPr>
          <w:rFonts w:ascii="Arial" w:hAnsi="Arial"/>
          <w:b/>
          <w:color w:val="1F2937"/>
          <w:sz w:val="26"/>
        </w:rPr>
        <w:t>Decision</w:t>
      </w:r>
    </w:p>
    <w:p>
      <w:pPr>
        <w:spacing w:after="80"/>
      </w:pPr>
      <w:r>
        <w:rPr>
          <w:rFonts w:ascii="Arial" w:hAnsi="Arial"/>
          <w:sz w:val="22"/>
        </w:rPr>
        <w:t xml:space="preserve">Model roles as an application-level </w:t>
      </w:r>
      <w:r>
        <w:rPr>
          <w:rFonts w:ascii="Consolas" w:hAnsi="Consolas"/>
          <w:rFonts w:ascii="Consolas" w:hAnsi="Consolas"/>
          <w:sz w:val="20"/>
        </w:rPr>
        <w:t>UserRole</w:t>
      </w:r>
      <w:r>
        <w:rPr>
          <w:rFonts w:ascii="Arial" w:hAnsi="Arial"/>
          <w:sz w:val="22"/>
        </w:rPr>
        <w:t xml:space="preserve"> table (</w:t>
      </w:r>
      <w:r>
        <w:rPr>
          <w:rFonts w:ascii="Consolas" w:hAnsi="Consolas"/>
          <w:rFonts w:ascii="Consolas" w:hAnsi="Consolas"/>
          <w:sz w:val="20"/>
        </w:rPr>
        <w:t>AppUser</w:t>
      </w:r>
      <w:r>
        <w:rPr>
          <w:rFonts w:ascii="Arial" w:hAnsi="Arial"/>
          <w:sz w:val="22"/>
        </w:rPr>
        <w:t xml:space="preserve"> 1:N </w:t>
      </w:r>
      <w:r>
        <w:rPr>
          <w:rFonts w:ascii="Consolas" w:hAnsi="Consolas"/>
          <w:rFonts w:ascii="Consolas" w:hAnsi="Consolas"/>
          <w:sz w:val="20"/>
        </w:rPr>
        <w:t>UserRole</w:t>
      </w:r>
      <w:r>
        <w:rPr>
          <w:rFonts w:ascii="Arial" w:hAnsi="Arial"/>
          <w:sz w:val="22"/>
        </w:rPr>
        <w:t>), enforced through ASP.NET Core authorization policies plus resource-based handlers — not as native Entra External ID group membership.</w:t>
      </w:r>
    </w:p>
    <w:p>
      <w:pPr>
        <w:keepNext/>
        <w:spacing w:before="200" w:after="80"/>
        <w:outlineLvl w:val="1"/>
      </w:pPr>
      <w:r>
        <w:rPr>
          <w:rFonts w:ascii="Arial" w:hAnsi="Arial"/>
          <w:b/>
          <w:color w:val="1F2937"/>
          <w:sz w:val="26"/>
        </w:rPr>
        <w:t>Alternatives considered</w:t>
      </w:r>
    </w:p>
    <w:p>
      <w:pPr>
        <w:spacing w:after="40"/>
        <w:ind w:left="620" w:hanging="260"/>
      </w:pPr>
      <w:r>
        <w:rPr>
          <w:rFonts w:ascii="Arial" w:hAnsi="Arial"/>
          <w:sz w:val="22"/>
        </w:rPr>
        <w:t xml:space="preserve">•  </w:t>
      </w:r>
      <w:r>
        <w:rPr>
          <w:rFonts w:ascii="Arial" w:hAnsi="Arial"/>
          <w:b/>
          <w:sz w:val="22"/>
        </w:rPr>
        <w:t>Native Entra External ID groups</w:t>
      </w:r>
      <w:r>
        <w:rPr>
          <w:rFonts w:ascii="Arial" w:hAnsi="Arial"/>
          <w:sz w:val="22"/>
        </w:rPr>
        <w:t>, mapped 1:1 to the six roles — rejected: groups express "is a member of role X" well, but cannot express "is a Parent of this specific Student", which is central to the access model (a Parent must never see another parent's child's medical/consent data). Resource-scoped authorization has to live in the application regardless, so keeping role membership there too avoids splitting the access-control model across two systems.</w:t>
      </w:r>
    </w:p>
    <w:p>
      <w:pPr>
        <w:keepNext/>
        <w:spacing w:before="200" w:after="80"/>
        <w:outlineLvl w:val="1"/>
      </w:pPr>
      <w:r>
        <w:rPr>
          <w:rFonts w:ascii="Arial" w:hAnsi="Arial"/>
          <w:b/>
          <w:color w:val="1F2937"/>
          <w:sz w:val="26"/>
        </w:rPr>
        <w:t>Consequences</w:t>
      </w:r>
    </w:p>
    <w:p>
      <w:pPr>
        <w:spacing w:after="40"/>
        <w:ind w:left="620" w:hanging="260"/>
      </w:pPr>
      <w:r>
        <w:rPr>
          <w:rFonts w:ascii="Arial" w:hAnsi="Arial"/>
          <w:sz w:val="22"/>
        </w:rPr>
        <w:t xml:space="preserve">•  </w:t>
      </w:r>
      <w:r>
        <w:rPr>
          <w:rFonts w:ascii="Arial" w:hAnsi="Arial"/>
          <w:sz w:val="22"/>
        </w:rPr>
        <w:t>Role and resource-scope checks live in one place (</w:t>
      </w:r>
      <w:r>
        <w:rPr>
          <w:rFonts w:ascii="Consolas" w:hAnsi="Consolas"/>
          <w:rFonts w:ascii="Consolas" w:hAnsi="Consolas"/>
          <w:sz w:val="20"/>
        </w:rPr>
        <w:t>Vlms.Web</w:t>
      </w:r>
      <w:r>
        <w:rPr>
          <w:rFonts w:ascii="Arial" w:hAnsi="Arial"/>
          <w:sz w:val="22"/>
        </w:rPr>
        <w:t xml:space="preserve"> authorization policies + handlers), which is easier for a solo maintainer to reason about and test than a split model.</w:t>
      </w:r>
    </w:p>
    <w:p>
      <w:pPr>
        <w:spacing w:after="40"/>
        <w:ind w:left="620" w:hanging="260"/>
      </w:pPr>
      <w:r>
        <w:rPr>
          <w:rFonts w:ascii="Arial" w:hAnsi="Arial"/>
          <w:sz w:val="22"/>
        </w:rPr>
        <w:t xml:space="preserve">•  </w:t>
      </w:r>
      <w:r>
        <w:rPr>
          <w:rFonts w:ascii="Arial" w:hAnsi="Arial"/>
          <w:sz w:val="22"/>
        </w:rPr>
        <w:t>A user's role is not visible/manageable directly from the Entra admin center — role assignment is an application feature (Admin UI), which must itself be access-controlled (only Admin can assign roles).</w:t>
      </w:r>
    </w:p>
    <w:p>
      <w:pPr>
        <w:spacing w:after="40"/>
        <w:ind w:left="620" w:hanging="260"/>
      </w:pPr>
      <w:r>
        <w:rPr>
          <w:rFonts w:ascii="Arial" w:hAnsi="Arial"/>
          <w:sz w:val="22"/>
        </w:rPr>
        <w:t xml:space="preserve">•  </w:t>
      </w:r>
      <w:r>
        <w:rPr>
          <w:rFonts w:ascii="Arial" w:hAnsi="Arial"/>
          <w:sz w:val="22"/>
        </w:rPr>
        <w:t xml:space="preserve">If the user base later grows enough that centralised (Entra-level) role governance becomes valuable, this can be revisited without changing the data model — </w:t>
      </w:r>
      <w:r>
        <w:rPr>
          <w:rFonts w:ascii="Consolas" w:hAnsi="Consolas"/>
          <w:rFonts w:ascii="Consolas" w:hAnsi="Consolas"/>
          <w:sz w:val="20"/>
        </w:rPr>
        <w:t>UserRole</w:t>
      </w:r>
      <w:r>
        <w:rPr>
          <w:rFonts w:ascii="Arial" w:hAnsi="Arial"/>
          <w:sz w:val="22"/>
        </w:rPr>
        <w:t xml:space="preserve"> could be populated from Entra group claims instead of an app-managed table.</w:t>
      </w:r>
    </w:p>
    <w:p>
      <w:pPr>
        <w:keepNext/>
        <w:spacing w:before="280" w:after="120"/>
        <w:outlineLvl w:val="0"/>
      </w:pPr>
      <w:r>
        <w:rPr>
          <w:rFonts w:ascii="Arial" w:hAnsi="Arial"/>
          <w:b/>
          <w:color w:val="111827"/>
          <w:sz w:val="32"/>
        </w:rPr>
        <w:t>0003 - Scheduled/background work via Azure App Service WebJobs</w:t>
      </w:r>
    </w:p>
    <w:p>
      <w:pPr>
        <w:keepNext/>
        <w:spacing w:before="200" w:after="80"/>
        <w:outlineLvl w:val="1"/>
      </w:pPr>
      <w:r>
        <w:rPr>
          <w:rFonts w:ascii="Arial" w:hAnsi="Arial"/>
          <w:b/>
          <w:color w:val="1F2937"/>
          <w:sz w:val="26"/>
        </w:rPr>
        <w:t>Status</w:t>
      </w:r>
    </w:p>
    <w:p>
      <w:pPr>
        <w:spacing w:after="80"/>
      </w:pPr>
      <w:r>
        <w:rPr>
          <w:rFonts w:ascii="Arial" w:hAnsi="Arial"/>
          <w:sz w:val="22"/>
        </w:rPr>
        <w:t xml:space="preserve">Amended by </w:t>
      </w:r>
      <w:r>
        <w:rPr>
          <w:rFonts w:ascii="Consolas" w:hAnsi="Consolas"/>
          <w:rFonts w:ascii="Consolas" w:hAnsi="Consolas"/>
          <w:sz w:val="20"/>
        </w:rPr>
        <w:t>adr/0005-hosting-pivot-self-hosted-vps-postgresql.md</w:t>
      </w:r>
      <w:r>
        <w:rPr>
          <w:rFonts w:ascii="Arial" w:hAnsi="Arial"/>
          <w:sz w:val="22"/>
        </w:rPr>
        <w:t xml:space="preserve"> — execution host changes from an Azure App Service WebJob to a systemd timer/cron on the self-hosted VPS. The decision below ("a plain console app, not a dedicated scheduler SDK") is unchanged.</w:t>
      </w:r>
    </w:p>
    <w:p>
      <w:pPr>
        <w:keepNext/>
        <w:spacing w:before="200" w:after="80"/>
        <w:outlineLvl w:val="1"/>
      </w:pPr>
      <w:r>
        <w:rPr>
          <w:rFonts w:ascii="Arial" w:hAnsi="Arial"/>
          <w:b/>
          <w:color w:val="1F2937"/>
          <w:sz w:val="26"/>
        </w:rPr>
        <w:t>Context</w:t>
      </w:r>
    </w:p>
    <w:p>
      <w:pPr>
        <w:spacing w:after="80"/>
      </w:pPr>
      <w:r>
        <w:rPr>
          <w:rFonts w:ascii="Arial" w:hAnsi="Arial"/>
          <w:sz w:val="22"/>
        </w:rPr>
        <w:t xml:space="preserve">VLMS needs recurring background work: daily consent/DBS expiry monitoring with escalation, and at-risk/disengaged student flagging (8-week no-completion threshold) — see </w:t>
      </w:r>
      <w:r>
        <w:rPr>
          <w:rFonts w:ascii="Consolas" w:hAnsi="Consolas"/>
          <w:rFonts w:ascii="Consolas" w:hAnsi="Consolas"/>
          <w:sz w:val="20"/>
        </w:rPr>
        <w:t>design/low-level-design.md</w:t>
      </w:r>
      <w:r>
        <w:rPr>
          <w:rFonts w:ascii="Arial" w:hAnsi="Arial"/>
          <w:sz w:val="22"/>
        </w:rPr>
        <w:t xml:space="preserve"> (</w:t>
      </w:r>
      <w:r>
        <w:rPr>
          <w:rFonts w:ascii="Consolas" w:hAnsi="Consolas"/>
          <w:rFonts w:ascii="Consolas" w:hAnsi="Consolas"/>
          <w:sz w:val="20"/>
        </w:rPr>
        <w:t>ConsentExpiryJob</w:t>
      </w:r>
      <w:r>
        <w:rPr>
          <w:rFonts w:ascii="Arial" w:hAnsi="Arial"/>
          <w:sz w:val="22"/>
        </w:rPr>
        <w:t>). This is the only background/scheduled workload in the system; everything else is synchronous, user-triggered web request handling.</w:t>
      </w:r>
    </w:p>
    <w:p>
      <w:pPr>
        <w:keepNext/>
        <w:spacing w:before="200" w:after="80"/>
        <w:outlineLvl w:val="1"/>
      </w:pPr>
      <w:r>
        <w:rPr>
          <w:rFonts w:ascii="Arial" w:hAnsi="Arial"/>
          <w:b/>
          <w:color w:val="1F2937"/>
          <w:sz w:val="26"/>
        </w:rPr>
        <w:t>Decision</w:t>
      </w:r>
    </w:p>
    <w:p>
      <w:pPr>
        <w:spacing w:after="80"/>
      </w:pPr>
      <w:r>
        <w:rPr>
          <w:rFonts w:ascii="Arial" w:hAnsi="Arial"/>
          <w:sz w:val="22"/>
        </w:rPr>
        <w:t xml:space="preserve">Run this as an Azure App Service </w:t>
      </w:r>
      <w:r>
        <w:rPr>
          <w:rFonts w:ascii="Arial" w:hAnsi="Arial"/>
          <w:b/>
          <w:sz w:val="22"/>
        </w:rPr>
        <w:t>WebJob</w:t>
      </w:r>
      <w:r>
        <w:rPr>
          <w:rFonts w:ascii="Arial" w:hAnsi="Arial"/>
          <w:sz w:val="22"/>
        </w:rPr>
        <w:t xml:space="preserve">, co-located with the </w:t>
      </w:r>
      <w:r>
        <w:rPr>
          <w:rFonts w:ascii="Consolas" w:hAnsi="Consolas"/>
          <w:rFonts w:ascii="Consolas" w:hAnsi="Consolas"/>
          <w:sz w:val="20"/>
        </w:rPr>
        <w:t>Vlms.Web</w:t>
      </w:r>
      <w:r>
        <w:rPr>
          <w:rFonts w:ascii="Arial" w:hAnsi="Arial"/>
          <w:sz w:val="22"/>
        </w:rPr>
        <w:t xml:space="preserve"> App Service plan.</w:t>
      </w:r>
    </w:p>
    <w:p>
      <w:pPr>
        <w:keepNext/>
        <w:spacing w:before="200" w:after="80"/>
        <w:outlineLvl w:val="1"/>
      </w:pPr>
      <w:r>
        <w:rPr>
          <w:rFonts w:ascii="Arial" w:hAnsi="Arial"/>
          <w:b/>
          <w:color w:val="1F2937"/>
          <w:sz w:val="26"/>
        </w:rPr>
        <w:t>Alternatives considered</w:t>
      </w:r>
    </w:p>
    <w:p>
      <w:pPr>
        <w:spacing w:after="40"/>
        <w:ind w:left="620" w:hanging="260"/>
      </w:pPr>
      <w:r>
        <w:rPr>
          <w:rFonts w:ascii="Arial" w:hAnsi="Arial"/>
          <w:sz w:val="22"/>
        </w:rPr>
        <w:t xml:space="preserve">•  </w:t>
      </w:r>
      <w:r>
        <w:rPr>
          <w:rFonts w:ascii="Arial" w:hAnsi="Arial"/>
          <w:b/>
          <w:sz w:val="22"/>
        </w:rPr>
        <w:t>Azure Functions (Timer trigger)</w:t>
      </w:r>
      <w:r>
        <w:rPr>
          <w:rFonts w:ascii="Arial" w:hAnsi="Arial"/>
          <w:sz w:val="22"/>
        </w:rPr>
        <w:t xml:space="preserve"> in a separate Function App — rejected for v1: adds a second Azure resource to provision, monitor, and pay for (per </w:t>
      </w:r>
      <w:r>
        <w:rPr>
          <w:rFonts w:ascii="Consolas" w:hAnsi="Consolas"/>
          <w:rFonts w:ascii="Consolas" w:hAnsi="Consolas"/>
          <w:sz w:val="20"/>
        </w:rPr>
        <w:t>raid.md</w:t>
      </w:r>
      <w:r>
        <w:rPr>
          <w:rFonts w:ascii="Arial" w:hAnsi="Arial"/>
          <w:sz w:val="22"/>
        </w:rPr>
        <w:t xml:space="preserve"> R-002, solo-maintainer bus-factor risk means fewer moving parts is a genuine mitigation, not just convenience), for a single daily job with no independent scaling need at tens-of-users scale.</w:t>
      </w:r>
    </w:p>
    <w:p>
      <w:pPr>
        <w:keepNext/>
        <w:spacing w:before="200" w:after="80"/>
        <w:outlineLvl w:val="1"/>
      </w:pPr>
      <w:r>
        <w:rPr>
          <w:rFonts w:ascii="Arial" w:hAnsi="Arial"/>
          <w:b/>
          <w:color w:val="1F2937"/>
          <w:sz w:val="26"/>
        </w:rPr>
        <w:t>Consequences</w:t>
      </w:r>
    </w:p>
    <w:p>
      <w:pPr>
        <w:spacing w:after="40"/>
        <w:ind w:left="620" w:hanging="260"/>
      </w:pPr>
      <w:r>
        <w:rPr>
          <w:rFonts w:ascii="Arial" w:hAnsi="Arial"/>
          <w:sz w:val="22"/>
        </w:rPr>
        <w:t xml:space="preserve">•  </w:t>
      </w:r>
      <w:r>
        <w:rPr>
          <w:rFonts w:ascii="Arial" w:hAnsi="Arial"/>
          <w:sz w:val="22"/>
        </w:rPr>
        <w:t xml:space="preserve">The scheduled job shares the App Service plan's compute and lifecycle with the web app — a deployment of </w:t>
      </w:r>
      <w:r>
        <w:rPr>
          <w:rFonts w:ascii="Consolas" w:hAnsi="Consolas"/>
          <w:rFonts w:ascii="Consolas" w:hAnsi="Consolas"/>
          <w:sz w:val="20"/>
        </w:rPr>
        <w:t>Vlms.Web</w:t>
      </w:r>
      <w:r>
        <w:rPr>
          <w:rFonts w:ascii="Arial" w:hAnsi="Arial"/>
          <w:sz w:val="22"/>
        </w:rPr>
        <w:t xml:space="preserve"> also redeploys the WebJob; there is no independent scaling or failure isolation between them.</w:t>
      </w:r>
    </w:p>
    <w:p>
      <w:pPr>
        <w:spacing w:after="40"/>
        <w:ind w:left="620" w:hanging="260"/>
      </w:pPr>
      <w:r>
        <w:rPr>
          <w:rFonts w:ascii="Arial" w:hAnsi="Arial"/>
          <w:sz w:val="22"/>
        </w:rPr>
        <w:t xml:space="preserve">•  </w:t>
      </w:r>
      <w:r>
        <w:rPr>
          <w:rFonts w:ascii="Arial" w:hAnsi="Arial"/>
          <w:sz w:val="22"/>
        </w:rPr>
        <w:t xml:space="preserve">If the background workload grows materially (e.g. many more jobs, higher-frequency triggers, or a need to scale independently of the web app), migrating to Azure Functions is a contained change — it does not affect the domain logic in </w:t>
      </w:r>
      <w:r>
        <w:rPr>
          <w:rFonts w:ascii="Consolas" w:hAnsi="Consolas"/>
          <w:rFonts w:ascii="Consolas" w:hAnsi="Consolas"/>
          <w:sz w:val="20"/>
        </w:rPr>
        <w:t>Vlms.Domain</w:t>
      </w:r>
      <w:r>
        <w:rPr>
          <w:rFonts w:ascii="Arial" w:hAnsi="Arial"/>
          <w:sz w:val="22"/>
        </w:rPr>
        <w:t>, only the hosting/trigger mechanism.</w:t>
      </w:r>
    </w:p>
    <w:p>
      <w:pPr>
        <w:spacing w:after="40"/>
        <w:ind w:left="620" w:hanging="260"/>
      </w:pPr>
      <w:r>
        <w:rPr>
          <w:rFonts w:ascii="Arial" w:hAnsi="Arial"/>
          <w:sz w:val="22"/>
        </w:rPr>
        <w:t xml:space="preserve">•  </w:t>
      </w:r>
      <w:r>
        <w:rPr>
          <w:rFonts w:ascii="Arial" w:hAnsi="Arial"/>
          <w:sz w:val="22"/>
        </w:rPr>
        <w:t>WebJob failures must be monitored explicitly (e.g. Application Insights alerting) since there is no separate Functions-portal execution history to fall back on.</w:t>
      </w:r>
    </w:p>
    <w:p>
      <w:pPr>
        <w:keepNext/>
        <w:spacing w:before="200" w:after="80"/>
        <w:outlineLvl w:val="2"/>
      </w:pPr>
      <w:r>
        <w:rPr>
          <w:rFonts w:ascii="Arial" w:hAnsi="Arial"/>
          <w:b/>
          <w:color w:val="374151"/>
          <w:sz w:val="24"/>
        </w:rPr>
        <w:t>Amendment (adr/0005-hosting-pivot-self-hosted-vps-postgresql.md): consequences under the systemd timer</w:t>
      </w:r>
    </w:p>
    <w:p>
      <w:pPr>
        <w:spacing w:after="80"/>
      </w:pPr>
      <w:r>
        <w:rPr>
          <w:rFonts w:ascii="Arial" w:hAnsi="Arial"/>
          <w:sz w:val="22"/>
        </w:rPr>
        <w:t xml:space="preserve">The paragraphs above described the Azure App Service WebJob's coupling to </w:t>
      </w:r>
      <w:r>
        <w:rPr>
          <w:rFonts w:ascii="Consolas" w:hAnsi="Consolas"/>
          <w:rFonts w:ascii="Consolas" w:hAnsi="Consolas"/>
          <w:sz w:val="20"/>
        </w:rPr>
        <w:t>Vlms.Web</w:t>
      </w:r>
      <w:r>
        <w:rPr>
          <w:rFonts w:ascii="Arial" w:hAnsi="Arial"/>
          <w:sz w:val="22"/>
        </w:rPr>
        <w:t xml:space="preserve">'s deployment; that coupling does </w:t>
      </w:r>
      <w:r>
        <w:rPr>
          <w:rFonts w:ascii="Arial" w:hAnsi="Arial"/>
          <w:b/>
          <w:sz w:val="22"/>
        </w:rPr>
        <w:t>not</w:t>
      </w:r>
      <w:r>
        <w:rPr>
          <w:rFonts w:ascii="Arial" w:hAnsi="Arial"/>
          <w:sz w:val="22"/>
        </w:rPr>
        <w:t xml:space="preserve"> carry over to the systemd timer that replaced it (</w:t>
      </w:r>
      <w:r>
        <w:rPr>
          <w:rFonts w:ascii="Consolas" w:hAnsi="Consolas"/>
          <w:rFonts w:ascii="Consolas" w:hAnsi="Consolas"/>
          <w:sz w:val="20"/>
        </w:rPr>
        <w:t>deploy/systemd/vlms-jobs.service</w:t>
      </w:r>
      <w:r>
        <w:rPr>
          <w:rFonts w:ascii="Arial" w:hAnsi="Arial"/>
          <w:sz w:val="22"/>
        </w:rPr>
        <w:t xml:space="preserve"> + </w:t>
      </w:r>
      <w:r>
        <w:rPr>
          <w:rFonts w:ascii="Consolas" w:hAnsi="Consolas"/>
          <w:rFonts w:ascii="Consolas" w:hAnsi="Consolas"/>
          <w:sz w:val="20"/>
        </w:rPr>
        <w:t>deploy/systemd/vlms-jobs.timer</w:t>
      </w:r>
      <w:r>
        <w:rPr>
          <w:rFonts w:ascii="Arial" w:hAnsi="Arial"/>
          <w:sz w:val="22"/>
        </w:rPr>
        <w:t>):</w:t>
      </w:r>
    </w:p>
    <w:p>
      <w:pPr>
        <w:spacing w:after="40"/>
        <w:ind w:left="620" w:hanging="260"/>
      </w:pPr>
      <w:r>
        <w:rPr>
          <w:rFonts w:ascii="Arial" w:hAnsi="Arial"/>
          <w:sz w:val="22"/>
        </w:rPr>
        <w:t xml:space="preserve">•  </w:t>
      </w:r>
      <w:r>
        <w:rPr>
          <w:rFonts w:ascii="Consolas" w:hAnsi="Consolas"/>
          <w:rFonts w:ascii="Consolas" w:hAnsi="Consolas"/>
          <w:sz w:val="20"/>
        </w:rPr>
        <w:t>Vlms.Jobs</w:t>
      </w:r>
      <w:r>
        <w:rPr>
          <w:rFonts w:ascii="Arial" w:hAnsi="Arial"/>
          <w:sz w:val="22"/>
        </w:rPr>
        <w:t xml:space="preserve"> and </w:t>
      </w:r>
      <w:r>
        <w:rPr>
          <w:rFonts w:ascii="Consolas" w:hAnsi="Consolas"/>
          <w:rFonts w:ascii="Consolas" w:hAnsi="Consolas"/>
          <w:sz w:val="20"/>
        </w:rPr>
        <w:t>Vlms.Web</w:t>
      </w:r>
      <w:r>
        <w:rPr>
          <w:rFonts w:ascii="Arial" w:hAnsi="Arial"/>
          <w:sz w:val="22"/>
        </w:rPr>
        <w:t xml:space="preserve"> are now two independent systemd units on the same VPS, not one App Service plan's co-located WebJob folder. A </w:t>
      </w:r>
      <w:r>
        <w:rPr>
          <w:rFonts w:ascii="Consolas" w:hAnsi="Consolas"/>
          <w:rFonts w:ascii="Consolas" w:hAnsi="Consolas"/>
          <w:sz w:val="20"/>
        </w:rPr>
        <w:t>Vlms.Web</w:t>
      </w:r>
      <w:r>
        <w:rPr>
          <w:rFonts w:ascii="Arial" w:hAnsi="Arial"/>
          <w:sz w:val="22"/>
        </w:rPr>
        <w:t xml:space="preserve"> deployment/restart does </w:t>
      </w:r>
      <w:r>
        <w:rPr>
          <w:rFonts w:ascii="Arial" w:hAnsi="Arial"/>
          <w:b/>
          <w:sz w:val="22"/>
        </w:rPr>
        <w:t>not</w:t>
      </w:r>
      <w:r>
        <w:rPr>
          <w:rFonts w:ascii="Arial" w:hAnsi="Arial"/>
          <w:sz w:val="22"/>
        </w:rPr>
        <w:t xml:space="preserve"> redeploy or restart </w:t>
      </w:r>
      <w:r>
        <w:rPr>
          <w:rFonts w:ascii="Consolas" w:hAnsi="Consolas"/>
          <w:rFonts w:ascii="Consolas" w:hAnsi="Consolas"/>
          <w:sz w:val="20"/>
        </w:rPr>
        <w:t>Vlms.Jobs</w:t>
      </w:r>
      <w:r>
        <w:rPr>
          <w:rFonts w:ascii="Arial" w:hAnsi="Arial"/>
          <w:sz w:val="22"/>
        </w:rPr>
        <w:t xml:space="preserve"> — the two are decoupled, which is a genuine improvement in failure isolation over the original WebJob's shared-lifecycle coupling this ADR originally accepted.</w:t>
      </w:r>
    </w:p>
    <w:p>
      <w:pPr>
        <w:spacing w:after="40"/>
        <w:ind w:left="620" w:hanging="260"/>
      </w:pPr>
      <w:r>
        <w:rPr>
          <w:rFonts w:ascii="Arial" w:hAnsi="Arial"/>
          <w:sz w:val="22"/>
        </w:rPr>
        <w:t xml:space="preserve">•  </w:t>
      </w:r>
      <w:r>
        <w:rPr>
          <w:rFonts w:ascii="Arial" w:hAnsi="Arial"/>
          <w:sz w:val="22"/>
        </w:rPr>
        <w:t xml:space="preserve">The trade-off moves elsewhere: redeploying a new </w:t>
      </w:r>
      <w:r>
        <w:rPr>
          <w:rFonts w:ascii="Consolas" w:hAnsi="Consolas"/>
          <w:rFonts w:ascii="Consolas" w:hAnsi="Consolas"/>
          <w:sz w:val="20"/>
        </w:rPr>
        <w:t>Vlms.Jobs</w:t>
      </w:r>
      <w:r>
        <w:rPr>
          <w:rFonts w:ascii="Arial" w:hAnsi="Arial"/>
          <w:sz w:val="22"/>
        </w:rPr>
        <w:t xml:space="preserve"> build now requires its own explicit step — publish the new build to the path </w:t>
      </w:r>
      <w:r>
        <w:rPr>
          <w:rFonts w:ascii="Consolas" w:hAnsi="Consolas"/>
          <w:rFonts w:ascii="Consolas" w:hAnsi="Consolas"/>
          <w:sz w:val="20"/>
        </w:rPr>
        <w:t>vlms-jobs.service</w:t>
      </w:r>
      <w:r>
        <w:rPr>
          <w:rFonts w:ascii="Arial" w:hAnsi="Arial"/>
          <w:sz w:val="22"/>
        </w:rPr>
        <w:t xml:space="preserve">'s </w:t>
      </w:r>
      <w:r>
        <w:rPr>
          <w:rFonts w:ascii="Consolas" w:hAnsi="Consolas"/>
          <w:rFonts w:ascii="Consolas" w:hAnsi="Consolas"/>
          <w:sz w:val="20"/>
        </w:rPr>
        <w:t>ExecStart</w:t>
      </w:r>
      <w:r>
        <w:rPr>
          <w:rFonts w:ascii="Arial" w:hAnsi="Arial"/>
          <w:sz w:val="22"/>
        </w:rPr>
        <w:t>/</w:t>
      </w:r>
      <w:r>
        <w:rPr>
          <w:rFonts w:ascii="Consolas" w:hAnsi="Consolas"/>
          <w:rFonts w:ascii="Consolas" w:hAnsi="Consolas"/>
          <w:sz w:val="20"/>
        </w:rPr>
        <w:t>WorkingDirectory</w:t>
      </w:r>
      <w:r>
        <w:rPr>
          <w:rFonts w:ascii="Arial" w:hAnsi="Arial"/>
          <w:sz w:val="22"/>
        </w:rPr>
        <w:t xml:space="preserve"> point at, then nothing further is needed for the next scheduled run to pick it up (systemd re-execs </w:t>
      </w:r>
      <w:r>
        <w:rPr>
          <w:rFonts w:ascii="Consolas" w:hAnsi="Consolas"/>
          <w:rFonts w:ascii="Consolas" w:hAnsi="Consolas"/>
          <w:sz w:val="20"/>
        </w:rPr>
        <w:t>ExecStart</w:t>
      </w:r>
      <w:r>
        <w:rPr>
          <w:rFonts w:ascii="Arial" w:hAnsi="Arial"/>
          <w:sz w:val="22"/>
        </w:rPr>
        <w:t xml:space="preserve"> fresh each time the timer fires; no long-running process to restart). Only a change to the unit/timer files themselves (schedule, environment, paths) requires </w:t>
      </w:r>
      <w:r>
        <w:rPr>
          <w:rFonts w:ascii="Consolas" w:hAnsi="Consolas"/>
          <w:rFonts w:ascii="Consolas" w:hAnsi="Consolas"/>
          <w:sz w:val="20"/>
        </w:rPr>
        <w:t>systemctl daemon-reload</w:t>
      </w:r>
      <w:r>
        <w:rPr>
          <w:rFonts w:ascii="Arial" w:hAnsi="Arial"/>
          <w:sz w:val="22"/>
        </w:rPr>
        <w:t xml:space="preserve"> — see </w:t>
      </w:r>
      <w:r>
        <w:rPr>
          <w:rFonts w:ascii="Consolas" w:hAnsi="Consolas"/>
          <w:rFonts w:ascii="Consolas" w:hAnsi="Consolas"/>
          <w:sz w:val="20"/>
        </w:rPr>
        <w:t>deploy/systemd/README.md</w:t>
      </w:r>
      <w:r>
        <w:rPr>
          <w:rFonts w:ascii="Arial" w:hAnsi="Arial"/>
          <w:sz w:val="22"/>
        </w:rPr>
        <w:t>.</w:t>
      </w:r>
    </w:p>
    <w:p>
      <w:pPr>
        <w:spacing w:after="40"/>
        <w:ind w:left="620" w:hanging="260"/>
      </w:pPr>
      <w:r>
        <w:rPr>
          <w:rFonts w:ascii="Arial" w:hAnsi="Arial"/>
          <w:sz w:val="22"/>
        </w:rPr>
        <w:t xml:space="preserve">•  </w:t>
      </w:r>
      <w:r>
        <w:rPr>
          <w:rFonts w:ascii="Arial" w:hAnsi="Arial"/>
          <w:sz w:val="22"/>
        </w:rPr>
        <w:t xml:space="preserve">Monitoring moves from Application Insights (never provisioned — no live Azure environment ever existed for this project) to </w:t>
      </w:r>
      <w:r>
        <w:rPr>
          <w:rFonts w:ascii="Consolas" w:hAnsi="Consolas"/>
          <w:rFonts w:ascii="Consolas" w:hAnsi="Consolas"/>
          <w:sz w:val="20"/>
        </w:rPr>
        <w:t>journalctl -u vlms-jobs.service</w:t>
      </w:r>
      <w:r>
        <w:rPr>
          <w:rFonts w:ascii="Arial" w:hAnsi="Arial"/>
          <w:sz w:val="22"/>
        </w:rPr>
        <w:t xml:space="preserve"> plus the process's own non-zero exit code / </w:t>
      </w:r>
      <w:r>
        <w:rPr>
          <w:rFonts w:ascii="Consolas" w:hAnsi="Consolas"/>
          <w:rFonts w:ascii="Consolas" w:hAnsi="Consolas"/>
          <w:sz w:val="20"/>
        </w:rPr>
        <w:t>LogCritical</w:t>
      </w:r>
      <w:r>
        <w:rPr>
          <w:rFonts w:ascii="Arial" w:hAnsi="Arial"/>
          <w:sz w:val="22"/>
        </w:rPr>
        <w:t xml:space="preserve"> on failure (</w:t>
      </w:r>
      <w:r>
        <w:rPr>
          <w:rFonts w:ascii="Consolas" w:hAnsi="Consolas"/>
          <w:rFonts w:ascii="Consolas" w:hAnsi="Consolas"/>
          <w:sz w:val="20"/>
        </w:rPr>
        <w:t>Program.cs</w:t>
      </w:r>
      <w:r>
        <w:rPr>
          <w:rFonts w:ascii="Arial" w:hAnsi="Arial"/>
          <w:sz w:val="22"/>
        </w:rPr>
        <w:t xml:space="preserve">'s catch block) — systemd surfaces a oneshot service's failed exit status via </w:t>
      </w:r>
      <w:r>
        <w:rPr>
          <w:rFonts w:ascii="Consolas" w:hAnsi="Consolas"/>
          <w:rFonts w:ascii="Consolas" w:hAnsi="Consolas"/>
          <w:sz w:val="20"/>
        </w:rPr>
        <w:t>systemctl status</w:t>
      </w:r>
      <w:r>
        <w:rPr>
          <w:rFonts w:ascii="Arial" w:hAnsi="Arial"/>
          <w:sz w:val="22"/>
        </w:rPr>
        <w:t>/</w:t>
      </w:r>
      <w:r>
        <w:rPr>
          <w:rFonts w:ascii="Consolas" w:hAnsi="Consolas"/>
          <w:rFonts w:ascii="Consolas" w:hAnsi="Consolas"/>
          <w:sz w:val="20"/>
        </w:rPr>
        <w:t>journalctl</w:t>
      </w:r>
      <w:r>
        <w:rPr>
          <w:rFonts w:ascii="Arial" w:hAnsi="Arial"/>
          <w:sz w:val="22"/>
        </w:rPr>
        <w:t xml:space="preserve"> the same way Application Insights would have surfaced a failed WebJob execution.</w:t>
      </w:r>
    </w:p>
    <w:p>
      <w:pPr>
        <w:spacing w:after="40"/>
        <w:ind w:left="620" w:hanging="260"/>
      </w:pPr>
      <w:r>
        <w:rPr>
          <w:rFonts w:ascii="Arial" w:hAnsi="Arial"/>
          <w:sz w:val="22"/>
        </w:rPr>
        <w:t xml:space="preserve">•  </w:t>
      </w:r>
      <w:r>
        <w:rPr>
          <w:rFonts w:ascii="Arial" w:hAnsi="Arial"/>
          <w:sz w:val="22"/>
        </w:rPr>
        <w:t xml:space="preserve">Both units still run on the same OS instance, so they are not failure-isolated from VPS-level events (a kernel panic or OS patching reboot affects both) — only App Service-plan-specific deployment coupling is removed, not all shared-host risk. This is the same trade-off </w:t>
      </w:r>
      <w:r>
        <w:rPr>
          <w:rFonts w:ascii="Consolas" w:hAnsi="Consolas"/>
          <w:rFonts w:ascii="Consolas" w:hAnsi="Consolas"/>
          <w:sz w:val="20"/>
        </w:rPr>
        <w:t>adr/0005</w:t>
      </w:r>
      <w:r>
        <w:rPr>
          <w:rFonts w:ascii="Arial" w:hAnsi="Arial"/>
          <w:sz w:val="22"/>
        </w:rPr>
        <w:t>'s Consequences section already names generally (no managed platform absorbing OS-level operational burden).</w:t>
      </w:r>
    </w:p>
    <w:p>
      <w:pPr>
        <w:keepNext/>
        <w:spacing w:before="280" w:after="120"/>
        <w:outlineLvl w:val="0"/>
      </w:pPr>
      <w:r>
        <w:rPr>
          <w:rFonts w:ascii="Arial" w:hAnsi="Arial"/>
          <w:b/>
          <w:color w:val="111827"/>
          <w:sz w:val="32"/>
        </w:rPr>
        <w:t>0004 - Sensitive data access control: entity split + EF Core query filters + read audit log</w:t>
      </w:r>
    </w:p>
    <w:p>
      <w:pPr>
        <w:keepNext/>
        <w:spacing w:before="200" w:after="80"/>
        <w:outlineLvl w:val="1"/>
      </w:pPr>
      <w:r>
        <w:rPr>
          <w:rFonts w:ascii="Arial" w:hAnsi="Arial"/>
          <w:b/>
          <w:color w:val="1F2937"/>
          <w:sz w:val="26"/>
        </w:rPr>
        <w:t>Status</w:t>
      </w:r>
    </w:p>
    <w:p>
      <w:pPr>
        <w:spacing w:after="80"/>
      </w:pPr>
      <w:r>
        <w:rPr>
          <w:rFonts w:ascii="Arial" w:hAnsi="Arial"/>
          <w:sz w:val="22"/>
        </w:rPr>
        <w:t xml:space="preserve">Accepted (revised after design review: pass 2 corrected the masking mechanism itself, pass 3 corrected the audit-write mechanism; later revised again at implementation time — pass 5 re-targeted the tamper-protection DENY from a dedicated </w:t>
      </w:r>
      <w:r>
        <w:rPr>
          <w:rFonts w:ascii="Consolas" w:hAnsi="Consolas"/>
          <w:rFonts w:ascii="Consolas" w:hAnsi="Consolas"/>
          <w:sz w:val="20"/>
        </w:rPr>
        <w:t>VlmsAppRole</w:t>
      </w:r>
      <w:r>
        <w:rPr>
          <w:rFonts w:ascii="Arial" w:hAnsi="Arial"/>
          <w:sz w:val="22"/>
        </w:rPr>
        <w:t xml:space="preserve"> to </w:t>
      </w:r>
      <w:r>
        <w:rPr>
          <w:rFonts w:ascii="Consolas" w:hAnsi="Consolas"/>
          <w:rFonts w:ascii="Consolas" w:hAnsi="Consolas"/>
          <w:sz w:val="20"/>
        </w:rPr>
        <w:t>public</w:t>
      </w:r>
      <w:r>
        <w:rPr>
          <w:rFonts w:ascii="Arial" w:hAnsi="Arial"/>
          <w:sz w:val="22"/>
        </w:rPr>
        <w:t xml:space="preserve"> to close a forgettable-provisioning gap; pass 6 ported §4 to PostgreSQL for </w:t>
      </w:r>
      <w:r>
        <w:rPr>
          <w:rFonts w:ascii="Consolas" w:hAnsi="Consolas"/>
          <w:rFonts w:ascii="Consolas" w:hAnsi="Consolas"/>
          <w:sz w:val="20"/>
        </w:rPr>
        <w:t>adr/0005-hosting-pivot-self-hosted-vps-postgresql.md</w:t>
      </w:r>
      <w:r>
        <w:rPr>
          <w:rFonts w:ascii="Arial" w:hAnsi="Arial"/>
          <w:sz w:val="22"/>
        </w:rPr>
        <w:t xml:space="preserve"> and found the port is not strength-equivalent to the SQL Server original — see Context, Decision §4, and Alternatives considered; pass 7 added an MFA precondition to the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query filters themselves, alongside the identity-provider swap in </w:t>
      </w:r>
      <w:r>
        <w:rPr>
          <w:rFonts w:ascii="Consolas" w:hAnsi="Consolas"/>
          <w:rFonts w:ascii="Consolas" w:hAnsi="Consolas"/>
          <w:sz w:val="20"/>
        </w:rPr>
        <w:t>STATE.md</w:t>
      </w:r>
      <w:r>
        <w:rPr>
          <w:rFonts w:ascii="Arial" w:hAnsi="Arial"/>
          <w:sz w:val="22"/>
        </w:rPr>
        <w:t>'s "Identity" item — see Decision §5; pass 8 closed the pass-6 gap structurally with Row-Level Security, the mechanism pass 6 named as the real DENY-equivalent and deliberately deferred — see Decision §6)</w:t>
      </w:r>
    </w:p>
    <w:p>
      <w:pPr>
        <w:spacing w:after="80"/>
      </w:pPr>
      <w:r>
        <w:rPr>
          <w:rFonts w:ascii="Arial" w:hAnsi="Arial"/>
          <w:b/>
          <w:sz w:val="22"/>
        </w:rPr>
        <w:t>Implemented (pass 6):</w:t>
      </w:r>
      <w:r>
        <w:rPr>
          <w:rFonts w:ascii="Arial" w:hAnsi="Arial"/>
          <w:sz w:val="22"/>
        </w:rPr>
        <w:t xml:space="preserve"> </w:t>
      </w:r>
      <w:r>
        <w:rPr>
          <w:rFonts w:ascii="Consolas" w:hAnsi="Consolas"/>
          <w:rFonts w:ascii="Consolas" w:hAnsi="Consolas"/>
          <w:sz w:val="20"/>
        </w:rPr>
        <w:t>adr/0005-hosting-pivot-self-hosted-vps-postgresql.md</w:t>
      </w:r>
      <w:r>
        <w:rPr>
          <w:rFonts w:ascii="Arial" w:hAnsi="Arial"/>
          <w:sz w:val="22"/>
        </w:rPr>
        <w:t xml:space="preserve"> moved the database engine from Azure SQL Database to self-hosted PostgreSQL. The access-control design here — EF Core global query filters on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the </w:t>
      </w:r>
      <w:r>
        <w:rPr>
          <w:rFonts w:ascii="Consolas" w:hAnsi="Consolas"/>
          <w:rFonts w:ascii="Consolas" w:hAnsi="Consolas"/>
          <w:sz w:val="20"/>
        </w:rPr>
        <w:t>IMaterializationInterceptor</w:t>
      </w:r>
      <w:r>
        <w:rPr>
          <w:rFonts w:ascii="Arial" w:hAnsi="Arial"/>
          <w:sz w:val="22"/>
        </w:rPr>
        <w:t xml:space="preserve"> read-audit trail — is provider-independent and did not change; both are confirmed still fully covered by the existing SQLite-in-memory test suite (166/166 tests passing, unchanged test logic — see </w:t>
      </w:r>
      <w:r>
        <w:rPr>
          <w:rFonts w:ascii="Consolas" w:hAnsi="Consolas"/>
          <w:rFonts w:ascii="Consolas" w:hAnsi="Consolas"/>
          <w:sz w:val="20"/>
        </w:rPr>
        <w:t>openwiki/testing.md</w:t>
      </w:r>
      <w:r>
        <w:rPr>
          <w:rFonts w:ascii="Arial" w:hAnsi="Arial"/>
          <w:sz w:val="22"/>
        </w:rPr>
        <w:t xml:space="preserve">'s "Test-provider strategy" section for why that's expected, not just hoped). §4's tamper-protection DDL was ported to </w:t>
      </w:r>
      <w:r>
        <w:rPr>
          <w:rFonts w:ascii="Consolas" w:hAnsi="Consolas"/>
          <w:rFonts w:ascii="Consolas" w:hAnsi="Consolas"/>
          <w:sz w:val="20"/>
        </w:rPr>
        <w:t>REVOKE UPDATE, DELETE ON sensitive_data_access_logs FROM PUBLIC</w:t>
      </w:r>
      <w:r>
        <w:rPr>
          <w:rFonts w:ascii="Arial" w:hAnsi="Arial"/>
          <w:sz w:val="22"/>
        </w:rPr>
        <w:t xml:space="preserve"> (one migration, </w:t>
      </w:r>
      <w:r>
        <w:rPr>
          <w:rFonts w:ascii="Consolas" w:hAnsi="Consolas"/>
          <w:rFonts w:ascii="Consolas" w:hAnsi="Consolas"/>
          <w:sz w:val="20"/>
        </w:rPr>
        <w:t>RevokeUpdateDeleteOnSensitiveDataAccessLog</w:t>
      </w:r>
      <w:r>
        <w:rPr>
          <w:rFonts w:ascii="Arial" w:hAnsi="Arial"/>
          <w:sz w:val="22"/>
        </w:rPr>
        <w:t xml:space="preserve">, replacing the two deleted SQL-Server-specific migrations) — but this is </w:t>
      </w:r>
      <w:r>
        <w:rPr>
          <w:rFonts w:ascii="Arial" w:hAnsi="Arial"/>
          <w:b/>
          <w:sz w:val="22"/>
        </w:rPr>
        <w:t>not</w:t>
      </w:r>
      <w:r>
        <w:rPr>
          <w:rFonts w:ascii="Arial" w:hAnsi="Arial"/>
          <w:sz w:val="22"/>
        </w:rPr>
        <w:t xml:space="preserve"> the "same structural guarantee, ported not redesigned" this ADR originally expected when pass 6 was scoped; see Decision §4 for what was actually verified and why.</w:t>
      </w:r>
    </w:p>
    <w:p>
      <w:pPr>
        <w:spacing w:after="80"/>
      </w:pPr>
      <w:r>
        <w:rPr>
          <w:rFonts w:ascii="Arial" w:hAnsi="Arial"/>
          <w:b/>
          <w:sz w:val="22"/>
        </w:rPr>
        <w:t>Implemented (pass 8):</w:t>
      </w:r>
      <w:r>
        <w:rPr>
          <w:rFonts w:ascii="Arial" w:hAnsi="Arial"/>
          <w:sz w:val="22"/>
        </w:rPr>
        <w:t xml:space="preserve"> a second migration, </w:t>
      </w:r>
      <w:r>
        <w:rPr>
          <w:rFonts w:ascii="Consolas" w:hAnsi="Consolas"/>
          <w:rFonts w:ascii="Consolas" w:hAnsi="Consolas"/>
          <w:sz w:val="20"/>
        </w:rPr>
        <w:t>EnforceRowLevelSecurityOnSensitiveDataAccessLog</w:t>
      </w:r>
      <w:r>
        <w:rPr>
          <w:rFonts w:ascii="Arial" w:hAnsi="Arial"/>
          <w:sz w:val="22"/>
        </w:rPr>
        <w:t xml:space="preserve">, adds </w:t>
      </w:r>
      <w:r>
        <w:rPr>
          <w:rFonts w:ascii="Consolas" w:hAnsi="Consolas"/>
          <w:rFonts w:ascii="Consolas" w:hAnsi="Consolas"/>
          <w:sz w:val="20"/>
        </w:rPr>
        <w:t>ALTER TABLE sensitive_data_access_logs ENABLE ROW LEVEL SECURITY</w:t>
      </w:r>
      <w:r>
        <w:rPr>
          <w:rFonts w:ascii="Arial" w:hAnsi="Arial"/>
          <w:sz w:val="22"/>
        </w:rPr>
        <w:t xml:space="preserve"> + </w:t>
      </w:r>
      <w:r>
        <w:rPr>
          <w:rFonts w:ascii="Consolas" w:hAnsi="Consolas"/>
          <w:rFonts w:ascii="Consolas" w:hAnsi="Consolas"/>
          <w:sz w:val="20"/>
        </w:rPr>
        <w:t>FORCE ROW LEVEL SECURITY</w:t>
      </w:r>
      <w:r>
        <w:rPr>
          <w:rFonts w:ascii="Arial" w:hAnsi="Arial"/>
          <w:sz w:val="22"/>
        </w:rPr>
        <w:t xml:space="preserve"> plus permissive </w:t>
      </w:r>
      <w:r>
        <w:rPr>
          <w:rFonts w:ascii="Consolas" w:hAnsi="Consolas"/>
          <w:rFonts w:ascii="Consolas" w:hAnsi="Consolas"/>
          <w:sz w:val="20"/>
        </w:rPr>
        <w:t>SELECT</w:t>
      </w:r>
      <w:r>
        <w:rPr>
          <w:rFonts w:ascii="Arial" w:hAnsi="Arial"/>
          <w:sz w:val="22"/>
        </w:rPr>
        <w:t>/</w:t>
      </w:r>
      <w:r>
        <w:rPr>
          <w:rFonts w:ascii="Consolas" w:hAnsi="Consolas"/>
          <w:rFonts w:ascii="Consolas" w:hAnsi="Consolas"/>
          <w:sz w:val="20"/>
        </w:rPr>
        <w:t>INSERT</w:t>
      </w:r>
      <w:r>
        <w:rPr>
          <w:rFonts w:ascii="Arial" w:hAnsi="Arial"/>
          <w:sz w:val="22"/>
        </w:rPr>
        <w:t xml:space="preserve"> policies and deliberately no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policy — closing the pass-6 gap for every role this deployment actually creates (only a genuine PostgreSQL superuser session remains exempt). See Decision §6 for the full mechanism, what it verifiably does and does not guarantee, and what remains "structurally correct, not yet exercised against a live server."</w:t>
      </w:r>
    </w:p>
    <w:p>
      <w:pPr>
        <w:keepNext/>
        <w:spacing w:before="200" w:after="80"/>
        <w:outlineLvl w:val="1"/>
      </w:pPr>
      <w:r>
        <w:rPr>
          <w:rFonts w:ascii="Arial" w:hAnsi="Arial"/>
          <w:b/>
          <w:color w:val="1F2937"/>
          <w:sz w:val="26"/>
        </w:rPr>
        <w:t>Context</w:t>
      </w:r>
    </w:p>
    <w:p>
      <w:pPr>
        <w:spacing w:after="80"/>
      </w:pPr>
      <w:r>
        <w:rPr>
          <w:rFonts w:ascii="Arial" w:hAnsi="Arial"/>
          <w:sz w:val="22"/>
        </w:rPr>
        <w:t>VLMS stores special-category and children's personal data directly (</w:t>
      </w:r>
      <w:r>
        <w:rPr>
          <w:rFonts w:ascii="Consolas" w:hAnsi="Consolas"/>
          <w:rFonts w:ascii="Consolas" w:hAnsi="Consolas"/>
          <w:sz w:val="20"/>
        </w:rPr>
        <w:t>DbsCheck</w:t>
      </w:r>
      <w:r>
        <w:rPr>
          <w:rFonts w:ascii="Arial" w:hAnsi="Arial"/>
          <w:sz w:val="22"/>
        </w:rPr>
        <w:t xml:space="preserve">, and originally three sensitive fields on </w:t>
      </w:r>
      <w:r>
        <w:rPr>
          <w:rFonts w:ascii="Consolas" w:hAnsi="Consolas"/>
          <w:rFonts w:ascii="Consolas" w:hAnsi="Consolas"/>
          <w:sz w:val="20"/>
        </w:rPr>
        <w:t>ConsentRecord</w:t>
      </w:r>
      <w:r>
        <w:rPr>
          <w:rFonts w:ascii="Arial" w:hAnsi="Arial"/>
          <w:sz w:val="22"/>
        </w:rPr>
        <w:t xml:space="preserve">) with a confirmed, role-specific access model: </w:t>
      </w:r>
      <w:r>
        <w:rPr>
          <w:rFonts w:ascii="Consolas" w:hAnsi="Consolas"/>
          <w:rFonts w:ascii="Consolas" w:hAnsi="Consolas"/>
          <w:sz w:val="20"/>
        </w:rPr>
        <w:t>DbsCheck</w:t>
      </w:r>
      <w:r>
        <w:rPr>
          <w:rFonts w:ascii="Arial" w:hAnsi="Arial"/>
          <w:sz w:val="22"/>
        </w:rPr>
        <w:t xml:space="preserve"> is restricted entirely to Admin/Safeguarding Officer; the sensitive consent fields are masked from Teacher and Approver, who nonetheless still need </w:t>
      </w:r>
      <w:r>
        <w:rPr>
          <w:rFonts w:ascii="Consolas" w:hAnsi="Consolas"/>
          <w:rFonts w:ascii="Consolas" w:hAnsi="Consolas"/>
          <w:sz w:val="20"/>
        </w:rPr>
        <w:t>ConsentRecord.Status</w:t>
      </w:r>
      <w:r>
        <w:rPr>
          <w:rFonts w:ascii="Arial" w:hAnsi="Arial"/>
          <w:sz w:val="22"/>
        </w:rPr>
        <w:t>/</w:t>
      </w:r>
      <w:r>
        <w:rPr>
          <w:rFonts w:ascii="Consolas" w:hAnsi="Consolas"/>
          <w:rFonts w:ascii="Consolas" w:hAnsi="Consolas"/>
          <w:sz w:val="20"/>
        </w:rPr>
        <w:t>ExpiryDate</w:t>
      </w:r>
      <w:r>
        <w:rPr>
          <w:rFonts w:ascii="Arial" w:hAnsi="Arial"/>
          <w:sz w:val="22"/>
        </w:rPr>
        <w:t xml:space="preserve"> to enforce the consent-blocks-lesson-completion rule (FR-003).</w:t>
      </w:r>
    </w:p>
    <w:p>
      <w:pPr>
        <w:spacing w:after="80"/>
      </w:pPr>
      <w:r>
        <w:rPr>
          <w:rFonts w:ascii="Arial" w:hAnsi="Arial"/>
          <w:sz w:val="22"/>
        </w:rPr>
        <w:t>A design review raised three issues, the first of which invalidated the original mechanism:</w:t>
      </w:r>
    </w:p>
    <w:p>
      <w:pPr>
        <w:spacing w:after="40"/>
        <w:ind w:left="720" w:hanging="360"/>
      </w:pPr>
      <w:r>
        <w:rPr>
          <w:rFonts w:ascii="Arial" w:hAnsi="Arial"/>
          <w:sz w:val="22"/>
        </w:rPr>
        <w:t xml:space="preserve">1.  </w:t>
      </w:r>
      <w:r>
        <w:rPr>
          <w:rFonts w:ascii="Arial" w:hAnsi="Arial"/>
          <w:b/>
          <w:sz w:val="22"/>
        </w:rPr>
        <w:t>The original decision specified EF Core global query filters to mask individual `ConsentRecord` columns.</w:t>
      </w:r>
      <w:r>
        <w:rPr>
          <w:rFonts w:ascii="Arial" w:hAnsi="Arial"/>
          <w:sz w:val="22"/>
        </w:rPr>
        <w:t xml:space="preserve"> This is not possible: a global query filter is a row-inclusion predicate (</w:t>
      </w:r>
      <w:r>
        <w:rPr>
          <w:rFonts w:ascii="Consolas" w:hAnsi="Consolas"/>
          <w:rFonts w:ascii="Consolas" w:hAnsi="Consolas"/>
          <w:sz w:val="20"/>
        </w:rPr>
        <w:t>HasQueryFilter</w:t>
      </w:r>
      <w:r>
        <w:rPr>
          <w:rFonts w:ascii="Arial" w:hAnsi="Arial"/>
          <w:sz w:val="22"/>
        </w:rPr>
        <w:t xml:space="preserve">) — it can only include or exclude an entire row, not redact specific columns within a row that a role otherwise legitimately needs (Teacher needs </w:t>
      </w:r>
      <w:r>
        <w:rPr>
          <w:rFonts w:ascii="Consolas" w:hAnsi="Consolas"/>
          <w:rFonts w:ascii="Consolas" w:hAnsi="Consolas"/>
          <w:sz w:val="20"/>
        </w:rPr>
        <w:t>Status</w:t>
      </w:r>
      <w:r>
        <w:rPr>
          <w:rFonts w:ascii="Arial" w:hAnsi="Arial"/>
          <w:sz w:val="22"/>
        </w:rPr>
        <w:t>/</w:t>
      </w:r>
      <w:r>
        <w:rPr>
          <w:rFonts w:ascii="Consolas" w:hAnsi="Consolas"/>
          <w:rFonts w:ascii="Consolas" w:hAnsi="Consolas"/>
          <w:sz w:val="20"/>
        </w:rPr>
        <w:t>ExpiryDate</w:t>
      </w:r>
      <w:r>
        <w:rPr>
          <w:rFonts w:ascii="Arial" w:hAnsi="Arial"/>
          <w:sz w:val="22"/>
        </w:rPr>
        <w:t xml:space="preserve"> from the same row the sensitive fields lived on). The mechanism as originally specified could not deliver the masking it claimed to. </w:t>
      </w:r>
      <w:r>
        <w:rPr>
          <w:rFonts w:ascii="Arial" w:hAnsi="Arial"/>
          <w:b/>
          <w:sz w:val="22"/>
        </w:rPr>
        <w:t>Fixed at pass 2</w:t>
      </w:r>
      <w:r>
        <w:rPr>
          <w:rFonts w:ascii="Arial" w:hAnsi="Arial"/>
          <w:sz w:val="22"/>
        </w:rPr>
        <w:t xml:space="preserve"> by splitting the entity (see Decision §1–2).</w:t>
      </w:r>
    </w:p>
    <w:p>
      <w:pPr>
        <w:spacing w:after="40"/>
        <w:ind w:left="720" w:hanging="360"/>
      </w:pPr>
      <w:r>
        <w:rPr>
          <w:rFonts w:ascii="Arial" w:hAnsi="Arial"/>
          <w:sz w:val="22"/>
        </w:rPr>
        <w:t xml:space="preserve">2.  </w:t>
      </w:r>
      <w:r>
        <w:rPr>
          <w:rFonts w:ascii="Arial" w:hAnsi="Arial"/>
          <w:sz w:val="22"/>
        </w:rPr>
        <w:t>If masking/restriction is instead implemented as an opt-in per-call convention, one missed query/report call site leaks sensitive data.</w:t>
      </w:r>
    </w:p>
    <w:p>
      <w:pPr>
        <w:spacing w:after="40"/>
        <w:ind w:left="720" w:hanging="360"/>
      </w:pPr>
      <w:r>
        <w:rPr>
          <w:rFonts w:ascii="Arial" w:hAnsi="Arial"/>
          <w:sz w:val="22"/>
        </w:rPr>
        <w:t xml:space="preserve">3.  </w:t>
      </w:r>
      <w:r>
        <w:rPr>
          <w:rFonts w:ascii="Arial" w:hAnsi="Arial"/>
          <w:sz w:val="22"/>
        </w:rPr>
        <w:t>The original design logged who created/approved a safeguarding record but nothing logged who subsequently read one.</w:t>
      </w:r>
    </w:p>
    <w:p>
      <w:pPr>
        <w:spacing w:after="40"/>
        <w:ind w:left="720" w:hanging="360"/>
      </w:pPr>
      <w:r>
        <w:rPr>
          <w:rFonts w:ascii="Arial" w:hAnsi="Arial"/>
          <w:sz w:val="22"/>
        </w:rPr>
        <w:t xml:space="preserve">4.  </w:t>
      </w:r>
      <w:r>
        <w:rPr>
          <w:rFonts w:ascii="Arial" w:hAnsi="Arial"/>
          <w:b/>
          <w:sz w:val="22"/>
        </w:rPr>
        <w:t>Pass 3 found the pass-2 fix for issue 3 was itself under-specified:</w:t>
      </w:r>
      <w:r>
        <w:rPr>
          <w:rFonts w:ascii="Arial" w:hAnsi="Arial"/>
          <w:sz w:val="22"/>
        </w:rPr>
        <w:t xml:space="preserve"> a </w:t>
      </w:r>
      <w:r>
        <w:rPr>
          <w:rFonts w:ascii="Consolas" w:hAnsi="Consolas"/>
          <w:rFonts w:ascii="Consolas" w:hAnsi="Consolas"/>
          <w:sz w:val="20"/>
        </w:rPr>
        <w:t>DbCommandInterceptor</w:t>
      </w:r>
      <w:r>
        <w:rPr>
          <w:rFonts w:ascii="Arial" w:hAnsi="Arial"/>
          <w:sz w:val="22"/>
        </w:rPr>
        <w:t xml:space="preserve"> operates on raw ADO.NET commands/</w:t>
      </w:r>
      <w:r>
        <w:rPr>
          <w:rFonts w:ascii="Consolas" w:hAnsi="Consolas"/>
          <w:rFonts w:ascii="Consolas" w:hAnsi="Consolas"/>
          <w:sz w:val="20"/>
        </w:rPr>
        <w:t>CommandText</w:t>
      </w:r>
      <w:r>
        <w:rPr>
          <w:rFonts w:ascii="Arial" w:hAnsi="Arial"/>
          <w:sz w:val="22"/>
        </w:rPr>
        <w:t xml:space="preserve"> and a forward-only </w:t>
      </w:r>
      <w:r>
        <w:rPr>
          <w:rFonts w:ascii="Consolas" w:hAnsi="Consolas"/>
          <w:rFonts w:ascii="Consolas" w:hAnsi="Consolas"/>
          <w:sz w:val="20"/>
        </w:rPr>
        <w:t>DbDataReader</w:t>
      </w:r>
      <w:r>
        <w:rPr>
          <w:rFonts w:ascii="Arial" w:hAnsi="Arial"/>
          <w:sz w:val="22"/>
        </w:rPr>
        <w:t xml:space="preserve"> — it has no direct access to EF's typed entity model, so "detects commands against these two tables and writes the audit row" glossed over how a specific </w:t>
      </w:r>
      <w:r>
        <w:rPr>
          <w:rFonts w:ascii="Consolas" w:hAnsi="Consolas"/>
          <w:rFonts w:ascii="Consolas" w:hAnsi="Consolas"/>
          <w:sz w:val="20"/>
        </w:rPr>
        <w:t>EntityId</w:t>
      </w:r>
      <w:r>
        <w:rPr>
          <w:rFonts w:ascii="Arial" w:hAnsi="Arial"/>
          <w:sz w:val="22"/>
        </w:rPr>
        <w:t xml:space="preserve"> gets extracted (SQL text-matching is fragile against joins/aliasing; reading the </w:t>
      </w:r>
      <w:r>
        <w:rPr>
          <w:rFonts w:ascii="Consolas" w:hAnsi="Consolas"/>
          <w:rFonts w:ascii="Consolas" w:hAnsi="Consolas"/>
          <w:sz w:val="20"/>
        </w:rPr>
        <w:t>DbDataReader</w:t>
      </w:r>
      <w:r>
        <w:rPr>
          <w:rFonts w:ascii="Arial" w:hAnsi="Arial"/>
          <w:sz w:val="22"/>
        </w:rPr>
        <w:t xml:space="preserve"> inside the interceptor risks exhausting it before EF materializes from it). It would also miss cache-hit-driven correctness questions the alternative mechanism below doesn't have. </w:t>
      </w:r>
      <w:r>
        <w:rPr>
          <w:rFonts w:ascii="Arial" w:hAnsi="Arial"/>
          <w:b/>
          <w:sz w:val="22"/>
        </w:rPr>
        <w:t>Fixed at pass 3</w:t>
      </w:r>
      <w:r>
        <w:rPr>
          <w:rFonts w:ascii="Arial" w:hAnsi="Arial"/>
          <w:sz w:val="22"/>
        </w:rPr>
        <w:t xml:space="preserve"> (see Decision §3).</w:t>
      </w:r>
    </w:p>
    <w:p>
      <w:pPr>
        <w:keepNext/>
        <w:spacing w:before="200" w:after="80"/>
        <w:outlineLvl w:val="1"/>
      </w:pPr>
      <w:r>
        <w:rPr>
          <w:rFonts w:ascii="Arial" w:hAnsi="Arial"/>
          <w:b/>
          <w:color w:val="1F2937"/>
          <w:sz w:val="26"/>
        </w:rPr>
        <w:t>Decision</w:t>
      </w:r>
    </w:p>
    <w:p>
      <w:pPr>
        <w:spacing w:after="40"/>
        <w:ind w:left="720" w:hanging="360"/>
      </w:pPr>
      <w:r>
        <w:rPr>
          <w:rFonts w:ascii="Arial" w:hAnsi="Arial"/>
          <w:sz w:val="22"/>
        </w:rPr>
        <w:t xml:space="preserve">1.  </w:t>
      </w:r>
      <w:r>
        <w:rPr>
          <w:rFonts w:ascii="Arial" w:hAnsi="Arial"/>
          <w:b/>
          <w:sz w:val="22"/>
        </w:rPr>
        <w:t>Split `ConsentRecord` into two entities</w:t>
      </w:r>
      <w:r>
        <w:rPr>
          <w:rFonts w:ascii="Arial" w:hAnsi="Arial"/>
          <w:sz w:val="22"/>
        </w:rPr>
        <w:t xml:space="preserve"> (</w:t>
      </w:r>
      <w:r>
        <w:rPr>
          <w:rFonts w:ascii="Consolas" w:hAnsi="Consolas"/>
          <w:rFonts w:ascii="Consolas" w:hAnsi="Consolas"/>
          <w:sz w:val="20"/>
        </w:rPr>
        <w:t>design/data-design.md</w:t>
      </w:r>
      <w:r>
        <w:rPr>
          <w:rFonts w:ascii="Arial" w:hAnsi="Arial"/>
          <w:sz w:val="22"/>
        </w:rPr>
        <w:t xml:space="preserve">): </w:t>
      </w:r>
      <w:r>
        <w:rPr>
          <w:rFonts w:ascii="Consolas" w:hAnsi="Consolas"/>
          <w:rFonts w:ascii="Consolas" w:hAnsi="Consolas"/>
          <w:sz w:val="20"/>
        </w:rPr>
        <w:t>ConsentRecord</w:t>
      </w:r>
      <w:r>
        <w:rPr>
          <w:rFonts w:ascii="Arial" w:hAnsi="Arial"/>
          <w:sz w:val="22"/>
        </w:rPr>
        <w:t xml:space="preserve"> (status, expiry, non-sensitive consent flags — readable by Teacher/Approver) and </w:t>
      </w:r>
      <w:r>
        <w:rPr>
          <w:rFonts w:ascii="Consolas" w:hAnsi="Consolas"/>
          <w:rFonts w:ascii="Consolas" w:hAnsi="Consolas"/>
          <w:sz w:val="20"/>
        </w:rPr>
        <w:t>ConsentSensitiveDetails</w:t>
      </w:r>
      <w:r>
        <w:rPr>
          <w:rFonts w:ascii="Arial" w:hAnsi="Arial"/>
          <w:sz w:val="22"/>
        </w:rPr>
        <w:t xml:space="preserve"> (medical, dietary/SEN, emergency contact — 1:1 with </w:t>
      </w:r>
      <w:r>
        <w:rPr>
          <w:rFonts w:ascii="Consolas" w:hAnsi="Consolas"/>
          <w:rFonts w:ascii="Consolas" w:hAnsi="Consolas"/>
          <w:sz w:val="20"/>
        </w:rPr>
        <w:t>ConsentRecord</w:t>
      </w:r>
      <w:r>
        <w:rPr>
          <w:rFonts w:ascii="Arial" w:hAnsi="Arial"/>
          <w:sz w:val="22"/>
        </w:rPr>
        <w:t xml:space="preserve">). This turns the masking requirement into the same whole-entity restriction pattern already correctly used for </w:t>
      </w:r>
      <w:r>
        <w:rPr>
          <w:rFonts w:ascii="Consolas" w:hAnsi="Consolas"/>
          <w:rFonts w:ascii="Consolas" w:hAnsi="Consolas"/>
          <w:sz w:val="20"/>
        </w:rPr>
        <w:t>DbsCheck</w:t>
      </w:r>
      <w:r>
        <w:rPr>
          <w:rFonts w:ascii="Arial" w:hAnsi="Arial"/>
          <w:sz w:val="22"/>
        </w:rPr>
        <w:t>, which a query filter can actually enforce.</w:t>
      </w:r>
    </w:p>
    <w:p>
      <w:pPr>
        <w:spacing w:after="40"/>
        <w:ind w:left="720" w:hanging="360"/>
      </w:pPr>
      <w:r>
        <w:rPr>
          <w:rFonts w:ascii="Arial" w:hAnsi="Arial"/>
          <w:sz w:val="22"/>
        </w:rPr>
        <w:t xml:space="preserve">2.  </w:t>
      </w:r>
      <w:r>
        <w:rPr>
          <w:rFonts w:ascii="Arial" w:hAnsi="Arial"/>
          <w:sz w:val="22"/>
        </w:rPr>
        <w:t xml:space="preserve">Enforce whole-entity restriction on </w:t>
      </w:r>
      <w:r>
        <w:rPr>
          <w:rFonts w:ascii="Consolas" w:hAnsi="Consolas"/>
          <w:rFonts w:ascii="Consolas" w:hAnsi="Consolas"/>
          <w:sz w:val="20"/>
        </w:rPr>
        <w:t>DbsCheck</w:t>
      </w:r>
      <w:r>
        <w:rPr>
          <w:rFonts w:ascii="Arial" w:hAnsi="Arial"/>
          <w:sz w:val="22"/>
        </w:rPr>
        <w:t xml:space="preserve"> and </w:t>
      </w:r>
      <w:r>
        <w:rPr>
          <w:rFonts w:ascii="Consolas" w:hAnsi="Consolas"/>
          <w:rFonts w:ascii="Consolas" w:hAnsi="Consolas"/>
          <w:sz w:val="20"/>
        </w:rPr>
        <w:t>ConsentSensitiveDetails</w:t>
      </w:r>
      <w:r>
        <w:rPr>
          <w:rFonts w:ascii="Arial" w:hAnsi="Arial"/>
          <w:sz w:val="22"/>
        </w:rPr>
        <w:t xml:space="preserve"> structurally via </w:t>
      </w:r>
      <w:r>
        <w:rPr>
          <w:rFonts w:ascii="Arial" w:hAnsi="Arial"/>
          <w:b/>
          <w:sz w:val="22"/>
        </w:rPr>
        <w:t>EF Core global query filters</w:t>
      </w:r>
      <w:r>
        <w:rPr>
          <w:rFonts w:ascii="Arial" w:hAnsi="Arial"/>
          <w:sz w:val="22"/>
        </w:rPr>
        <w:t xml:space="preserve"> on the </w:t>
      </w:r>
      <w:r>
        <w:rPr>
          <w:rFonts w:ascii="Consolas" w:hAnsi="Consolas"/>
          <w:rFonts w:ascii="Consolas" w:hAnsi="Consolas"/>
          <w:sz w:val="20"/>
        </w:rPr>
        <w:t>DbContext</w:t>
      </w:r>
      <w:r>
        <w:rPr>
          <w:rFonts w:ascii="Arial" w:hAnsi="Arial"/>
          <w:sz w:val="22"/>
        </w:rPr>
        <w:t xml:space="preserve">, keyed by the current caller's role. Bypassing requires an explicit, greppable </w:t>
      </w:r>
      <w:r>
        <w:rPr>
          <w:rFonts w:ascii="Consolas" w:hAnsi="Consolas"/>
          <w:rFonts w:ascii="Consolas" w:hAnsi="Consolas"/>
          <w:sz w:val="20"/>
        </w:rPr>
        <w:t>IgnoreQueryFilters()</w:t>
      </w:r>
      <w:r>
        <w:rPr>
          <w:rFonts w:ascii="Arial" w:hAnsi="Arial"/>
          <w:sz w:val="22"/>
        </w:rPr>
        <w:t xml:space="preserve"> call — a reviewable act, not an accident.</w:t>
      </w:r>
    </w:p>
    <w:p>
      <w:pPr>
        <w:spacing w:after="40"/>
        <w:ind w:left="720" w:hanging="360"/>
      </w:pPr>
      <w:r>
        <w:rPr>
          <w:rFonts w:ascii="Arial" w:hAnsi="Arial"/>
          <w:sz w:val="22"/>
        </w:rPr>
        <w:t xml:space="preserve">3.  </w:t>
      </w:r>
      <w:r>
        <w:rPr>
          <w:rFonts w:ascii="Arial" w:hAnsi="Arial"/>
          <w:sz w:val="22"/>
        </w:rPr>
        <w:t xml:space="preserve">Add a </w:t>
      </w:r>
      <w:r>
        <w:rPr>
          <w:rFonts w:ascii="Consolas" w:hAnsi="Consolas"/>
          <w:rFonts w:ascii="Consolas" w:hAnsi="Consolas"/>
          <w:sz w:val="20"/>
        </w:rPr>
        <w:t>SensitiveDataAccessLog</w:t>
      </w:r>
      <w:r>
        <w:rPr>
          <w:rFonts w:ascii="Arial" w:hAnsi="Arial"/>
          <w:sz w:val="22"/>
        </w:rPr>
        <w:t xml:space="preserve"> table and write an entry on every read of </w:t>
      </w:r>
      <w:r>
        <w:rPr>
          <w:rFonts w:ascii="Consolas" w:hAnsi="Consolas"/>
          <w:rFonts w:ascii="Consolas" w:hAnsi="Consolas"/>
          <w:sz w:val="20"/>
        </w:rPr>
        <w:t>DbsCheck</w:t>
      </w:r>
      <w:r>
        <w:rPr>
          <w:rFonts w:ascii="Arial" w:hAnsi="Arial"/>
          <w:sz w:val="22"/>
        </w:rPr>
        <w:t xml:space="preserve"> or </w:t>
      </w:r>
      <w:r>
        <w:rPr>
          <w:rFonts w:ascii="Consolas" w:hAnsi="Consolas"/>
          <w:rFonts w:ascii="Consolas" w:hAnsi="Consolas"/>
          <w:sz w:val="20"/>
        </w:rPr>
        <w:t>ConsentSensitiveDetails</w:t>
      </w:r>
      <w:r>
        <w:rPr>
          <w:rFonts w:ascii="Arial" w:hAnsi="Arial"/>
          <w:sz w:val="22"/>
        </w:rPr>
        <w:t xml:space="preserve"> (who, what, when, view vs export). </w:t>
      </w:r>
      <w:r>
        <w:rPr>
          <w:rFonts w:ascii="Arial" w:hAnsi="Arial"/>
          <w:b/>
          <w:sz w:val="22"/>
        </w:rPr>
        <w:t>Write mechanism (corrected at pass 3):</w:t>
      </w:r>
      <w:r>
        <w:rPr>
          <w:rFonts w:ascii="Arial" w:hAnsi="Arial"/>
          <w:sz w:val="22"/>
        </w:rPr>
        <w:t xml:space="preserve"> an </w:t>
      </w:r>
      <w:r>
        <w:rPr>
          <w:rFonts w:ascii="Consolas" w:hAnsi="Consolas"/>
          <w:rFonts w:ascii="Consolas" w:hAnsi="Consolas"/>
          <w:sz w:val="20"/>
        </w:rPr>
        <w:t>IMaterializationInterceptor</w:t>
      </w:r>
      <w:r>
        <w:rPr>
          <w:rFonts w:ascii="Arial" w:hAnsi="Arial"/>
          <w:sz w:val="22"/>
        </w:rPr>
        <w:t xml:space="preserve"> (https://learn.microsoft.com/ef/core/logging-events-diagnostics/interceptors) registered on the </w:t>
      </w:r>
      <w:r>
        <w:rPr>
          <w:rFonts w:ascii="Consolas" w:hAnsi="Consolas"/>
          <w:rFonts w:ascii="Consolas" w:hAnsi="Consolas"/>
          <w:sz w:val="20"/>
        </w:rPr>
        <w:t>DbContext</w:t>
      </w:r>
      <w:r>
        <w:rPr>
          <w:rFonts w:ascii="Arial" w:hAnsi="Arial"/>
          <w:sz w:val="22"/>
        </w:rPr>
        <w:t xml:space="preserve">. Its </w:t>
      </w:r>
      <w:r>
        <w:rPr>
          <w:rFonts w:ascii="Consolas" w:hAnsi="Consolas"/>
          <w:rFonts w:ascii="Consolas" w:hAnsi="Consolas"/>
          <w:sz w:val="20"/>
        </w:rPr>
        <w:t>InitializedInstance</w:t>
      </w:r>
      <w:r>
        <w:rPr>
          <w:rFonts w:ascii="Arial" w:hAnsi="Arial"/>
          <w:sz w:val="22"/>
        </w:rPr>
        <w:t xml:space="preserve"> hook fires once per entity instance EF materializes from a query result, giving direct typed access to the entity (</w:t>
      </w:r>
      <w:r>
        <w:rPr>
          <w:rFonts w:ascii="Consolas" w:hAnsi="Consolas"/>
          <w:rFonts w:ascii="Consolas" w:hAnsi="Consolas"/>
          <w:sz w:val="20"/>
        </w:rPr>
        <w:t>entity is DbsCheck dbs → log dbs.Id</w:t>
      </w:r>
      <w:r>
        <w:rPr>
          <w:rFonts w:ascii="Arial" w:hAnsi="Arial"/>
          <w:sz w:val="22"/>
        </w:rPr>
        <w:t xml:space="preserve">) — no SQL text-matching, no manual </w:t>
      </w:r>
      <w:r>
        <w:rPr>
          <w:rFonts w:ascii="Consolas" w:hAnsi="Consolas"/>
          <w:rFonts w:ascii="Consolas" w:hAnsi="Consolas"/>
          <w:sz w:val="20"/>
        </w:rPr>
        <w:t>DbDataReader</w:t>
      </w:r>
      <w:r>
        <w:rPr>
          <w:rFonts w:ascii="Arial" w:hAnsi="Arial"/>
          <w:sz w:val="22"/>
        </w:rPr>
        <w:t xml:space="preserve"> handling, and it fires correctly per row even across EF's compiled-query cache (unlike </w:t>
      </w:r>
      <w:r>
        <w:rPr>
          <w:rFonts w:ascii="Consolas" w:hAnsi="Consolas"/>
          <w:rFonts w:ascii="Consolas" w:hAnsi="Consolas"/>
          <w:sz w:val="20"/>
        </w:rPr>
        <w:t>IQueryExpressionInterceptor</w:t>
      </w:r>
      <w:r>
        <w:rPr>
          <w:rFonts w:ascii="Arial" w:hAnsi="Arial"/>
          <w:sz w:val="22"/>
        </w:rPr>
        <w:t xml:space="preserve">, which only fires at query-plan compilation and would silently miss a second call with the same query shape but different parameters — a real risk for an audit-every-read requirement). Because </w:t>
      </w:r>
      <w:r>
        <w:rPr>
          <w:rFonts w:ascii="Consolas" w:hAnsi="Consolas"/>
          <w:rFonts w:ascii="Consolas" w:hAnsi="Consolas"/>
          <w:sz w:val="20"/>
        </w:rPr>
        <w:t>IMaterializationInterceptor</w:t>
      </w:r>
      <w:r>
        <w:rPr>
          <w:rFonts w:ascii="Arial" w:hAnsi="Arial"/>
          <w:sz w:val="22"/>
        </w:rPr>
        <w:t xml:space="preserve"> is registered as a singleton shared across </w:t>
      </w:r>
      <w:r>
        <w:rPr>
          <w:rFonts w:ascii="Consolas" w:hAnsi="Consolas"/>
          <w:rFonts w:ascii="Consolas" w:hAnsi="Consolas"/>
          <w:sz w:val="20"/>
        </w:rPr>
        <w:t>DbContext</w:t>
      </w:r>
      <w:r>
        <w:rPr>
          <w:rFonts w:ascii="Arial" w:hAnsi="Arial"/>
          <w:sz w:val="22"/>
        </w:rPr>
        <w:t xml:space="preserve"> instances, the current-user context is resolved per-call via </w:t>
      </w:r>
      <w:r>
        <w:rPr>
          <w:rFonts w:ascii="Consolas" w:hAnsi="Consolas"/>
          <w:rFonts w:ascii="Consolas" w:hAnsi="Consolas"/>
          <w:sz w:val="20"/>
        </w:rPr>
        <w:t>materializationData.Context.GetService&lt;T&gt;()</w:t>
      </w:r>
      <w:r>
        <w:rPr>
          <w:rFonts w:ascii="Arial" w:hAnsi="Arial"/>
          <w:sz w:val="22"/>
        </w:rPr>
        <w:t>, not cached on the interceptor.</w:t>
      </w:r>
    </w:p>
    <w:p>
      <w:pPr>
        <w:spacing w:after="40"/>
        <w:ind w:left="720" w:hanging="360"/>
      </w:pPr>
      <w:r>
        <w:rPr>
          <w:rFonts w:ascii="Arial" w:hAnsi="Arial"/>
          <w:sz w:val="22"/>
        </w:rPr>
        <w:t xml:space="preserve">4.  </w:t>
      </w:r>
      <w:r>
        <w:rPr>
          <w:rFonts w:ascii="Consolas" w:hAnsi="Consolas"/>
          <w:rFonts w:ascii="Consolas" w:hAnsi="Consolas"/>
          <w:sz w:val="20"/>
        </w:rPr>
        <w:t>SensitiveDataAccessLog</w:t>
      </w:r>
      <w:r>
        <w:rPr>
          <w:rFonts w:ascii="Arial" w:hAnsi="Arial"/>
          <w:sz w:val="22"/>
        </w:rPr>
        <w:t xml:space="preserve"> has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denied at the database permission level (not just an application-level "append-only" convention), and is retained 6 years regardless of the referenced record's own retention. </w:t>
      </w:r>
      <w:r>
        <w:rPr>
          <w:rFonts w:ascii="Arial" w:hAnsi="Arial"/>
          <w:b/>
          <w:sz w:val="22"/>
        </w:rPr>
        <w:t>Implemented for SQL Server, then revised (pass 5) to close a forgettable-provisioning gap, then ported to PostgreSQL (pass 6) with a verified, disclosed strength gap.</w:t>
      </w:r>
    </w:p>
    <w:p>
      <w:pPr>
        <w:spacing w:after="80"/>
      </w:pPr>
      <w:r>
        <w:rPr>
          <w:rFonts w:ascii="Arial" w:hAnsi="Arial"/>
          <w:b/>
          <w:sz w:val="22"/>
        </w:rPr>
        <w:t>Pass 4/5 (SQL Server, historical — the mechanism below no longer runs; kept as the record of what was built and why, per this ADR's own convention).</w:t>
      </w:r>
      <w:r>
        <w:rPr>
          <w:rFonts w:ascii="Arial" w:hAnsi="Arial"/>
          <w:sz w:val="22"/>
        </w:rPr>
        <w:t xml:space="preserve"> The original </w:t>
      </w:r>
      <w:r>
        <w:rPr>
          <w:rFonts w:ascii="Consolas" w:hAnsi="Consolas"/>
          <w:rFonts w:ascii="Consolas" w:hAnsi="Consolas"/>
          <w:sz w:val="20"/>
        </w:rPr>
        <w:t>DenyUpdateDeleteOnSensitiveDataAccessLogs</w:t>
      </w:r>
      <w:r>
        <w:rPr>
          <w:rFonts w:ascii="Arial" w:hAnsi="Arial"/>
          <w:sz w:val="22"/>
        </w:rPr>
        <w:t xml:space="preserve"> migration created a dedicated database role, </w:t>
      </w:r>
      <w:r>
        <w:rPr>
          <w:rFonts w:ascii="Consolas" w:hAnsi="Consolas"/>
          <w:rFonts w:ascii="Consolas" w:hAnsi="Consolas"/>
          <w:sz w:val="20"/>
        </w:rPr>
        <w:t>VlmsAppRole</w:t>
      </w:r>
      <w:r>
        <w:rPr>
          <w:rFonts w:ascii="Arial" w:hAnsi="Arial"/>
          <w:sz w:val="22"/>
        </w:rPr>
        <w:t xml:space="preserve">, and denied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to that role — a later checker review found this left the DENY inert until a deployer remembered to add the production principal to the role. </w:t>
      </w:r>
      <w:r>
        <w:rPr>
          <w:rFonts w:ascii="Consolas" w:hAnsi="Consolas"/>
          <w:rFonts w:ascii="Consolas" w:hAnsi="Consolas"/>
          <w:sz w:val="20"/>
        </w:rPr>
        <w:t>SupersedeVlmsAppRoleWithPublicDenyOnSensitiveDataAccessLogs</w:t>
      </w:r>
      <w:r>
        <w:rPr>
          <w:rFonts w:ascii="Arial" w:hAnsi="Arial"/>
          <w:sz w:val="22"/>
        </w:rPr>
        <w:t xml:space="preserve"> re-targeted the DENY to SQL Server's </w:t>
      </w:r>
      <w:r>
        <w:rPr>
          <w:rFonts w:ascii="Consolas" w:hAnsi="Consolas"/>
          <w:rFonts w:ascii="Consolas" w:hAnsi="Consolas"/>
          <w:sz w:val="20"/>
        </w:rPr>
        <w:t>public</w:t>
      </w:r>
      <w:r>
        <w:rPr>
          <w:rFonts w:ascii="Arial" w:hAnsi="Arial"/>
          <w:sz w:val="22"/>
        </w:rPr>
        <w:t xml:space="preserve"> database role instead: every database user belongs to </w:t>
      </w:r>
      <w:r>
        <w:rPr>
          <w:rFonts w:ascii="Consolas" w:hAnsi="Consolas"/>
          <w:rFonts w:ascii="Consolas" w:hAnsi="Consolas"/>
          <w:sz w:val="20"/>
        </w:rPr>
        <w:t>public</w:t>
      </w:r>
      <w:r>
        <w:rPr>
          <w:rFonts w:ascii="Arial" w:hAnsi="Arial"/>
          <w:sz w:val="22"/>
        </w:rPr>
        <w:t xml:space="preserve"> and cannot be removed from it (Database-Level Roles (https://learn.microsoft.com/en-us/sql/relational-databases/security/authentication-access/database-level-roles)), and </w:t>
      </w:r>
      <w:r>
        <w:rPr>
          <w:rFonts w:ascii="Consolas" w:hAnsi="Consolas"/>
          <w:rFonts w:ascii="Consolas" w:hAnsi="Consolas"/>
          <w:sz w:val="20"/>
        </w:rPr>
        <w:t>DENY</w:t>
      </w:r>
      <w:r>
        <w:rPr>
          <w:rFonts w:ascii="Arial" w:hAnsi="Arial"/>
          <w:sz w:val="22"/>
        </w:rPr>
        <w:t xml:space="preserve"> overrides all grants except for object owners and </w:t>
      </w:r>
      <w:r>
        <w:rPr>
          <w:rFonts w:ascii="Consolas" w:hAnsi="Consolas"/>
          <w:rFonts w:ascii="Consolas" w:hAnsi="Consolas"/>
          <w:sz w:val="20"/>
        </w:rPr>
        <w:t>sysadmin</w:t>
      </w:r>
      <w:r>
        <w:rPr>
          <w:rFonts w:ascii="Arial" w:hAnsi="Arial"/>
          <w:sz w:val="22"/>
        </w:rPr>
        <w:t xml:space="preserve"> (DENY (Transact-SQL) (https://learn.microsoft.com/en-us/sql/t-sql/statements/deny-transact-sql)) — so the only principals that could still mutate the log were </w:t>
      </w:r>
      <w:r>
        <w:rPr>
          <w:rFonts w:ascii="Consolas" w:hAnsi="Consolas"/>
          <w:rFonts w:ascii="Consolas" w:hAnsi="Consolas"/>
          <w:sz w:val="20"/>
        </w:rPr>
        <w:t>dbo</w:t>
      </w:r>
      <w:r>
        <w:rPr>
          <w:rFonts w:ascii="Arial" w:hAnsi="Arial"/>
          <w:sz w:val="22"/>
        </w:rPr>
        <w:t xml:space="preserve"> and </w:t>
      </w:r>
      <w:r>
        <w:rPr>
          <w:rFonts w:ascii="Consolas" w:hAnsi="Consolas"/>
          <w:rFonts w:ascii="Consolas" w:hAnsi="Consolas"/>
          <w:sz w:val="20"/>
        </w:rPr>
        <w:t>sysadmin</w:t>
      </w:r>
      <w:r>
        <w:rPr>
          <w:rFonts w:ascii="Arial" w:hAnsi="Arial"/>
          <w:sz w:val="22"/>
        </w:rPr>
        <w:t>, an override that held regardless of any other grant a principal held.</w:t>
      </w:r>
    </w:p>
    <w:p>
      <w:pPr>
        <w:spacing w:after="80"/>
      </w:pPr>
      <w:r>
        <w:rPr>
          <w:rFonts w:ascii="Arial" w:hAnsi="Arial"/>
          <w:b/>
          <w:sz w:val="22"/>
        </w:rPr>
        <w:t>Pass 6 (PostgreSQL, current — adr/0005-hosting-pivot-self-hosted-vps-postgresql.md).</w:t>
      </w:r>
      <w:r>
        <w:rPr>
          <w:rFonts w:ascii="Arial" w:hAnsi="Arial"/>
          <w:sz w:val="22"/>
        </w:rPr>
        <w:t xml:space="preserve"> Both SQL Server migrations were deleted (no live database anywhere held applied migration state — confirmed from STATE.md before deleting, not assumed) and replaced with one, </w:t>
      </w:r>
      <w:r>
        <w:rPr>
          <w:rFonts w:ascii="Consolas" w:hAnsi="Consolas"/>
          <w:rFonts w:ascii="Consolas" w:hAnsi="Consolas"/>
          <w:sz w:val="20"/>
        </w:rPr>
        <w:t>RevokeUpdateDeleteOnSensitiveDataAccessLog</w:t>
      </w:r>
      <w:r>
        <w:rPr>
          <w:rFonts w:ascii="Arial" w:hAnsi="Arial"/>
          <w:sz w:val="22"/>
        </w:rPr>
        <w:t xml:space="preserve">: </w:t>
      </w:r>
      <w:r>
        <w:rPr>
          <w:rFonts w:ascii="Consolas" w:hAnsi="Consolas"/>
          <w:rFonts w:ascii="Consolas" w:hAnsi="Consolas"/>
          <w:sz w:val="20"/>
        </w:rPr>
        <w:t>REVOKE UPDATE, DELETE ON sensitive_data_access_logs FROM PUBLIC;</w:t>
      </w:r>
      <w:r>
        <w:rPr>
          <w:rFonts w:ascii="Arial" w:hAnsi="Arial"/>
          <w:sz w:val="22"/>
        </w:rPr>
        <w:t xml:space="preserve">. </w:t>
      </w:r>
      <w:r>
        <w:rPr>
          <w:rFonts w:ascii="Arial" w:hAnsi="Arial"/>
          <w:b/>
          <w:sz w:val="22"/>
        </w:rPr>
        <w:t>This is not the same structural guarantee "ported not redesigned" that adr/0005 anticipated</w:t>
      </w:r>
      <w:r>
        <w:rPr>
          <w:rFonts w:ascii="Arial" w:hAnsi="Arial"/>
          <w:sz w:val="22"/>
        </w:rPr>
        <w:t xml:space="preserve"> — checked against current PostgreSQL documentation rather than assumed the SQL Server mental model carries over, per CLAUDE.md "verify, don't invent", and the gap is disclosed here rather than papered over:</w:t>
      </w:r>
    </w:p>
    <w:p>
      <w:pPr>
        <w:spacing w:after="40"/>
        <w:ind w:left="1700" w:hanging="260"/>
      </w:pPr>
      <w:r>
        <w:rPr>
          <w:rFonts w:ascii="Arial" w:hAnsi="Arial"/>
          <w:sz w:val="22"/>
        </w:rPr>
        <w:t xml:space="preserve">–  </w:t>
      </w:r>
      <w:r>
        <w:rPr>
          <w:rFonts w:ascii="Arial" w:hAnsi="Arial"/>
          <w:sz w:val="22"/>
        </w:rPr>
        <w:t xml:space="preserve">PostgreSQL's privilege model has </w:t>
      </w:r>
      <w:r>
        <w:rPr>
          <w:rFonts w:ascii="Arial" w:hAnsi="Arial"/>
          <w:b/>
          <w:sz w:val="22"/>
        </w:rPr>
        <w:t>no override concept</w:t>
      </w:r>
      <w:r>
        <w:rPr>
          <w:rFonts w:ascii="Arial" w:hAnsi="Arial"/>
          <w:sz w:val="22"/>
        </w:rPr>
        <w:t xml:space="preserve">. </w:t>
      </w:r>
      <w:r>
        <w:rPr>
          <w:rFonts w:ascii="Consolas" w:hAnsi="Consolas"/>
          <w:rFonts w:ascii="Consolas" w:hAnsi="Consolas"/>
          <w:sz w:val="20"/>
        </w:rPr>
        <w:t>REVOKE ... FROM PUBLIC</w:t>
      </w:r>
      <w:r>
        <w:rPr>
          <w:rFonts w:ascii="Arial" w:hAnsi="Arial"/>
          <w:sz w:val="22"/>
        </w:rPr>
        <w:t xml:space="preserve"> removes only the privilege a role held via </w:t>
      </w:r>
      <w:r>
        <w:rPr>
          <w:rFonts w:ascii="Consolas" w:hAnsi="Consolas"/>
          <w:rFonts w:ascii="Consolas" w:hAnsi="Consolas"/>
          <w:sz w:val="20"/>
        </w:rPr>
        <w:t>PUBLIC</w:t>
      </w:r>
      <w:r>
        <w:rPr>
          <w:rFonts w:ascii="Arial" w:hAnsi="Arial"/>
          <w:sz w:val="22"/>
        </w:rPr>
        <w:t xml:space="preserve">; a role holding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some other way — an explicit direct </w:t>
      </w:r>
      <w:r>
        <w:rPr>
          <w:rFonts w:ascii="Consolas" w:hAnsi="Consolas"/>
          <w:rFonts w:ascii="Consolas" w:hAnsi="Consolas"/>
          <w:sz w:val="20"/>
        </w:rPr>
        <w:t>GRANT</w:t>
      </w:r>
      <w:r>
        <w:rPr>
          <w:rFonts w:ascii="Arial" w:hAnsi="Arial"/>
          <w:sz w:val="22"/>
        </w:rPr>
        <w:t xml:space="preserve">, or by owning the table — is completely unaffected ("revoking SELECT privilege from PUBLIC does not necessarily mean that all roles have lost SELECT privilege on the object: those who have it granted directly ... will still have it" — REVOKE (https://www.postgresql.org/docs/current/sql-revoke.html)). It is also not persistent the way </w:t>
      </w:r>
      <w:r>
        <w:rPr>
          <w:rFonts w:ascii="Consolas" w:hAnsi="Consolas"/>
          <w:rFonts w:ascii="Consolas" w:hAnsi="Consolas"/>
          <w:sz w:val="20"/>
        </w:rPr>
        <w:t>DENY</w:t>
      </w:r>
      <w:r>
        <w:rPr>
          <w:rFonts w:ascii="Arial" w:hAnsi="Arial"/>
          <w:sz w:val="22"/>
        </w:rPr>
        <w:t xml:space="preserve"> is: a later </w:t>
      </w:r>
      <w:r>
        <w:rPr>
          <w:rFonts w:ascii="Consolas" w:hAnsi="Consolas"/>
          <w:rFonts w:ascii="Consolas" w:hAnsi="Consolas"/>
          <w:sz w:val="20"/>
        </w:rPr>
        <w:t>GRANT ... TO PUBLIC</w:t>
      </w:r>
      <w:r>
        <w:rPr>
          <w:rFonts w:ascii="Arial" w:hAnsi="Arial"/>
          <w:sz w:val="22"/>
        </w:rPr>
        <w:t xml:space="preserve"> would silently restore what this </w:t>
      </w:r>
      <w:r>
        <w:rPr>
          <w:rFonts w:ascii="Consolas" w:hAnsi="Consolas"/>
          <w:rFonts w:ascii="Consolas" w:hAnsi="Consolas"/>
          <w:sz w:val="20"/>
        </w:rPr>
        <w:t>REVOKE</w:t>
      </w:r>
      <w:r>
        <w:rPr>
          <w:rFonts w:ascii="Arial" w:hAnsi="Arial"/>
          <w:sz w:val="22"/>
        </w:rPr>
        <w:t xml:space="preserve"> removed, with nothing re-blocking it.</w:t>
      </w:r>
    </w:p>
    <w:p>
      <w:pPr>
        <w:spacing w:after="40"/>
        <w:ind w:left="1700" w:hanging="260"/>
      </w:pPr>
      <w:r>
        <w:rPr>
          <w:rFonts w:ascii="Arial" w:hAnsi="Arial"/>
          <w:sz w:val="22"/>
        </w:rPr>
        <w:t xml:space="preserve">–  </w:t>
      </w:r>
      <w:r>
        <w:rPr>
          <w:rFonts w:ascii="Arial" w:hAnsi="Arial"/>
          <w:sz w:val="22"/>
        </w:rPr>
        <w:t xml:space="preserve">PostgreSQL grants </w:t>
      </w:r>
      <w:r>
        <w:rPr>
          <w:rFonts w:ascii="Arial" w:hAnsi="Arial"/>
          <w:b/>
          <w:sz w:val="22"/>
        </w:rPr>
        <w:t>no default privileges to `PUBLIC` on tables at all</w:t>
      </w:r>
      <w:r>
        <w:rPr>
          <w:rFonts w:ascii="Arial" w:hAnsi="Arial"/>
          <w:sz w:val="22"/>
        </w:rPr>
        <w:t xml:space="preserve"> ("No privileges are granted to PUBLIC by default on tables ..." — Privileges (https://www.postgresql.org/docs/current/ddl-priv.html)), unlike SQL Server. On a freshly created table this </w:t>
      </w:r>
      <w:r>
        <w:rPr>
          <w:rFonts w:ascii="Consolas" w:hAnsi="Consolas"/>
          <w:rFonts w:ascii="Consolas" w:hAnsi="Consolas"/>
          <w:sz w:val="20"/>
        </w:rPr>
        <w:t>REVOKE</w:t>
      </w:r>
      <w:r>
        <w:rPr>
          <w:rFonts w:ascii="Arial" w:hAnsi="Arial"/>
          <w:sz w:val="22"/>
        </w:rPr>
        <w:t xml:space="preserve"> has nothing to revoke; it is defensive against a future accidental </w:t>
      </w:r>
      <w:r>
        <w:rPr>
          <w:rFonts w:ascii="Consolas" w:hAnsi="Consolas"/>
          <w:rFonts w:ascii="Consolas" w:hAnsi="Consolas"/>
          <w:sz w:val="20"/>
        </w:rPr>
        <w:t>GRANT ... TO PUBLIC</w:t>
      </w:r>
      <w:r>
        <w:rPr>
          <w:rFonts w:ascii="Arial" w:hAnsi="Arial"/>
          <w:sz w:val="22"/>
        </w:rPr>
        <w:t>, not an active restriction from day one.</w:t>
      </w:r>
    </w:p>
    <w:p>
      <w:pPr>
        <w:spacing w:after="40"/>
        <w:ind w:left="1700" w:hanging="260"/>
      </w:pPr>
      <w:r>
        <w:rPr>
          <w:rFonts w:ascii="Arial" w:hAnsi="Arial"/>
          <w:sz w:val="22"/>
        </w:rPr>
        <w:t xml:space="preserve">–  </w:t>
      </w:r>
      <w:r>
        <w:rPr>
          <w:rFonts w:ascii="Arial" w:hAnsi="Arial"/>
          <w:sz w:val="22"/>
        </w:rPr>
        <w:t xml:space="preserve">Consequently, </w:t>
      </w:r>
      <w:r>
        <w:rPr>
          <w:rFonts w:ascii="Arial" w:hAnsi="Arial"/>
          <w:b/>
          <w:sz w:val="22"/>
        </w:rPr>
        <w:t>who can still `UPDATE`/`DELETE` the log is a strictly larger set than "the owner and a superuser"</w:t>
      </w:r>
      <w:r>
        <w:rPr>
          <w:rFonts w:ascii="Arial" w:hAnsi="Arial"/>
          <w:sz w:val="22"/>
        </w:rPr>
        <w:t xml:space="preserve"> (the analogy originally expected, mirroring SQL Server's </w:t>
      </w:r>
      <w:r>
        <w:rPr>
          <w:rFonts w:ascii="Consolas" w:hAnsi="Consolas"/>
          <w:rFonts w:ascii="Consolas" w:hAnsi="Consolas"/>
          <w:sz w:val="20"/>
        </w:rPr>
        <w:t>dbo</w:t>
      </w:r>
      <w:r>
        <w:rPr>
          <w:rFonts w:ascii="Arial" w:hAnsi="Arial"/>
          <w:sz w:val="22"/>
        </w:rPr>
        <w:t>/</w:t>
      </w:r>
      <w:r>
        <w:rPr>
          <w:rFonts w:ascii="Consolas" w:hAnsi="Consolas"/>
          <w:rFonts w:ascii="Consolas" w:hAnsi="Consolas"/>
          <w:sz w:val="20"/>
        </w:rPr>
        <w:t>sysadmin</w:t>
      </w:r>
      <w:r>
        <w:rPr>
          <w:rFonts w:ascii="Arial" w:hAnsi="Arial"/>
          <w:sz w:val="22"/>
        </w:rPr>
        <w:t xml:space="preserve">) — it is any role ever explicitly granted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directly, or that owns the table. The residual, load-bearing control is therefore entirely operational, more so than it was under SQL Server's DENY: the app's connecting role must never own this table and must never be granted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on it directly (only </w:t>
      </w:r>
      <w:r>
        <w:rPr>
          <w:rFonts w:ascii="Consolas" w:hAnsi="Consolas"/>
          <w:rFonts w:ascii="Consolas" w:hAnsi="Consolas"/>
          <w:sz w:val="20"/>
        </w:rPr>
        <w:t>SELECT</w:t>
      </w:r>
      <w:r>
        <w:rPr>
          <w:rFonts w:ascii="Arial" w:hAnsi="Arial"/>
          <w:sz w:val="22"/>
        </w:rPr>
        <w:t>/</w:t>
      </w:r>
      <w:r>
        <w:rPr>
          <w:rFonts w:ascii="Consolas" w:hAnsi="Consolas"/>
          <w:rFonts w:ascii="Consolas" w:hAnsi="Consolas"/>
          <w:sz w:val="20"/>
        </w:rPr>
        <w:t>INSERT</w:t>
      </w:r>
      <w:r>
        <w:rPr>
          <w:rFonts w:ascii="Arial" w:hAnsi="Arial"/>
          <w:sz w:val="22"/>
        </w:rPr>
        <w:t xml:space="preserve">, which </w:t>
      </w:r>
      <w:r>
        <w:rPr>
          <w:rFonts w:ascii="Consolas" w:hAnsi="Consolas"/>
          <w:rFonts w:ascii="Consolas" w:hAnsi="Consolas"/>
          <w:sz w:val="20"/>
        </w:rPr>
        <w:t>SensitiveDataAuditInterceptor</w:t>
      </w:r>
      <w:r>
        <w:rPr>
          <w:rFonts w:ascii="Arial" w:hAnsi="Arial"/>
          <w:sz w:val="22"/>
        </w:rPr>
        <w:t xml:space="preserve">'s writes need) — </w:t>
      </w:r>
      <w:r>
        <w:rPr>
          <w:rFonts w:ascii="Consolas" w:hAnsi="Consolas"/>
          <w:rFonts w:ascii="Consolas" w:hAnsi="Consolas"/>
          <w:sz w:val="20"/>
        </w:rPr>
        <w:t>governance/raid.md</w:t>
      </w:r>
      <w:r>
        <w:rPr>
          <w:rFonts w:ascii="Arial" w:hAnsi="Arial"/>
          <w:sz w:val="22"/>
        </w:rPr>
        <w:t xml:space="preserve"> D-004, generalised for PostgreSQL.</w:t>
      </w:r>
    </w:p>
    <w:p>
      <w:pPr>
        <w:spacing w:after="40"/>
        <w:ind w:left="1700" w:hanging="260"/>
      </w:pPr>
      <w:r>
        <w:rPr>
          <w:rFonts w:ascii="Arial" w:hAnsi="Arial"/>
          <w:sz w:val="22"/>
        </w:rPr>
        <w:t xml:space="preserve">–  </w:t>
      </w:r>
      <w:r>
        <w:rPr>
          <w:rFonts w:ascii="Arial" w:hAnsi="Arial"/>
          <w:sz w:val="22"/>
        </w:rPr>
        <w:t xml:space="preserve">A true </w:t>
      </w:r>
      <w:r>
        <w:rPr>
          <w:rFonts w:ascii="Consolas" w:hAnsi="Consolas"/>
          <w:rFonts w:ascii="Consolas" w:hAnsi="Consolas"/>
          <w:sz w:val="20"/>
        </w:rPr>
        <w:t>DENY</w:t>
      </w:r>
      <w:r>
        <w:rPr>
          <w:rFonts w:ascii="Arial" w:hAnsi="Arial"/>
          <w:sz w:val="22"/>
        </w:rPr>
        <w:t xml:space="preserve">-equivalent </w:t>
      </w:r>
      <w:r>
        <w:rPr>
          <w:rFonts w:ascii="Arial" w:hAnsi="Arial"/>
          <w:b/>
          <w:sz w:val="22"/>
        </w:rPr>
        <w:t>does</w:t>
      </w:r>
      <w:r>
        <w:rPr>
          <w:rFonts w:ascii="Arial" w:hAnsi="Arial"/>
          <w:sz w:val="22"/>
        </w:rPr>
        <w:t xml:space="preserve"> exist in PostgreSQL — Row-Level Security (</w:t>
      </w:r>
      <w:r>
        <w:rPr>
          <w:rFonts w:ascii="Consolas" w:hAnsi="Consolas"/>
          <w:rFonts w:ascii="Consolas" w:hAnsi="Consolas"/>
          <w:sz w:val="20"/>
        </w:rPr>
        <w:t>ALTER TABLE ... FORCE ROW LEVEL SECURITY</w:t>
      </w:r>
      <w:r>
        <w:rPr>
          <w:rFonts w:ascii="Arial" w:hAnsi="Arial"/>
          <w:sz w:val="22"/>
        </w:rPr>
        <w:t xml:space="preserve"> plus </w:t>
      </w:r>
      <w:r>
        <w:rPr>
          <w:rFonts w:ascii="Consolas" w:hAnsi="Consolas"/>
          <w:rFonts w:ascii="Consolas" w:hAnsi="Consolas"/>
          <w:sz w:val="20"/>
        </w:rPr>
        <w:t>CREATE POLICY ... FOR UPDATE USING (false)</w:t>
      </w:r>
      <w:r>
        <w:rPr>
          <w:rFonts w:ascii="Arial" w:hAnsi="Arial"/>
          <w:sz w:val="22"/>
        </w:rPr>
        <w:t xml:space="preserve"> / </w:t>
      </w:r>
      <w:r>
        <w:rPr>
          <w:rFonts w:ascii="Consolas" w:hAnsi="Consolas"/>
          <w:rFonts w:ascii="Consolas" w:hAnsi="Consolas"/>
          <w:sz w:val="20"/>
        </w:rPr>
        <w:t>FOR DELETE USING (false)</w:t>
      </w:r>
      <w:r>
        <w:rPr>
          <w:rFonts w:ascii="Arial" w:hAnsi="Arial"/>
          <w:sz w:val="22"/>
        </w:rPr>
        <w:t>, which blocks even the table owner, with only a superuser/</w:t>
      </w:r>
      <w:r>
        <w:rPr>
          <w:rFonts w:ascii="Consolas" w:hAnsi="Consolas"/>
          <w:rFonts w:ascii="Consolas" w:hAnsi="Consolas"/>
          <w:sz w:val="20"/>
        </w:rPr>
        <w:t>BYPASSRLS</w:t>
      </w:r>
      <w:r>
        <w:rPr>
          <w:rFonts w:ascii="Arial" w:hAnsi="Arial"/>
          <w:sz w:val="22"/>
        </w:rPr>
        <w:t xml:space="preserve"> role exempt — verified against Row Security Policies (https://www.postgresql.org/docs/current/ddl-rowsecurity.html)) — but was </w:t>
      </w:r>
      <w:r>
        <w:rPr>
          <w:rFonts w:ascii="Arial" w:hAnsi="Arial"/>
          <w:b/>
          <w:sz w:val="22"/>
        </w:rPr>
        <w:t>deliberately not built in pass 6</w:t>
      </w:r>
      <w:r>
        <w:rPr>
          <w:rFonts w:ascii="Arial" w:hAnsi="Arial"/>
          <w:sz w:val="22"/>
        </w:rPr>
        <w:t xml:space="preserve">: enabling row security requires an explicit policy for every command that must keep working or that command is default-denied too, and getting that wrong risked silently blocking the audit interceptor's own </w:t>
      </w:r>
      <w:r>
        <w:rPr>
          <w:rFonts w:ascii="Consolas" w:hAnsi="Consolas"/>
          <w:rFonts w:ascii="Consolas" w:hAnsi="Consolas"/>
          <w:sz w:val="20"/>
        </w:rPr>
        <w:t>INSERT</w:t>
      </w:r>
      <w:r>
        <w:rPr>
          <w:rFonts w:ascii="Arial" w:hAnsi="Arial"/>
          <w:sz w:val="22"/>
        </w:rPr>
        <w:t xml:space="preserve"> path inside what was scoped as a same-provider port, not a mechanism redesign. Tracked as a new, separate, higher-scrutiny follow-up (</w:t>
      </w:r>
      <w:r>
        <w:rPr>
          <w:rFonts w:ascii="Consolas" w:hAnsi="Consolas"/>
          <w:rFonts w:ascii="Consolas" w:hAnsi="Consolas"/>
          <w:sz w:val="20"/>
        </w:rPr>
        <w:t>STATE.md</w:t>
      </w:r>
      <w:r>
        <w:rPr>
          <w:rFonts w:ascii="Arial" w:hAnsi="Arial"/>
          <w:sz w:val="22"/>
        </w:rPr>
        <w:t xml:space="preserve"> Next).</w:t>
      </w:r>
    </w:p>
    <w:p>
      <w:pPr>
        <w:spacing w:after="80"/>
      </w:pPr>
      <w:r>
        <w:rPr>
          <w:rFonts w:ascii="Consolas" w:hAnsi="Consolas"/>
          <w:rFonts w:ascii="Consolas" w:hAnsi="Consolas"/>
          <w:sz w:val="20"/>
        </w:rPr>
        <w:t>INSERT</w:t>
      </w:r>
      <w:r>
        <w:rPr>
          <w:rFonts w:ascii="Arial" w:hAnsi="Arial"/>
          <w:sz w:val="22"/>
        </w:rPr>
        <w:t xml:space="preserve"> is deliberately not revoked (the </w:t>
      </w:r>
      <w:r>
        <w:rPr>
          <w:rFonts w:ascii="Consolas" w:hAnsi="Consolas"/>
          <w:rFonts w:ascii="Consolas" w:hAnsi="Consolas"/>
          <w:sz w:val="20"/>
        </w:rPr>
        <w:t>SensitiveDataAuditInterceptor</w:t>
      </w:r>
      <w:r>
        <w:rPr>
          <w:rFonts w:ascii="Arial" w:hAnsi="Arial"/>
          <w:sz w:val="22"/>
        </w:rPr>
        <w:t xml:space="preserve">'s own writes must keep working), and </w:t>
      </w:r>
      <w:r>
        <w:rPr>
          <w:rFonts w:ascii="Consolas" w:hAnsi="Consolas"/>
          <w:rFonts w:ascii="Consolas" w:hAnsi="Consolas"/>
          <w:sz w:val="20"/>
        </w:rPr>
        <w:t>TRUNCATE</w:t>
      </w:r>
      <w:r>
        <w:rPr>
          <w:rFonts w:ascii="Arial" w:hAnsi="Arial"/>
          <w:sz w:val="22"/>
        </w:rPr>
        <w:t xml:space="preserve"> is not named anywhere in this ADR or </w:t>
      </w:r>
      <w:r>
        <w:rPr>
          <w:rFonts w:ascii="Consolas" w:hAnsi="Consolas"/>
          <w:rFonts w:ascii="Consolas" w:hAnsi="Consolas"/>
          <w:sz w:val="20"/>
        </w:rPr>
        <w:t>governance/security-compliance.md</w:t>
      </w:r>
      <w:r>
        <w:rPr>
          <w:rFonts w:ascii="Arial" w:hAnsi="Arial"/>
          <w:sz w:val="22"/>
        </w:rPr>
        <w:t xml:space="preserve">, so it isn't revoked either — unchanged from the SQL Server version. This is raw PostgreSQL SQL and is never applied against the SQLite in-memory provider the test suite uses (tests build schema via </w:t>
      </w:r>
      <w:r>
        <w:rPr>
          <w:rFonts w:ascii="Consolas" w:hAnsi="Consolas"/>
          <w:rFonts w:ascii="Consolas" w:hAnsi="Consolas"/>
          <w:sz w:val="20"/>
        </w:rPr>
        <w:t>Database.EnsureCreated()</w:t>
      </w:r>
      <w:r>
        <w:rPr>
          <w:rFonts w:ascii="Arial" w:hAnsi="Arial"/>
          <w:sz w:val="22"/>
        </w:rPr>
        <w:t xml:space="preserve">, never </w:t>
      </w:r>
      <w:r>
        <w:rPr>
          <w:rFonts w:ascii="Consolas" w:hAnsi="Consolas"/>
          <w:rFonts w:ascii="Consolas" w:hAnsi="Consolas"/>
          <w:sz w:val="20"/>
        </w:rPr>
        <w:t>Database.Migrate()</w:t>
      </w:r>
      <w:r>
        <w:rPr>
          <w:rFonts w:ascii="Arial" w:hAnsi="Arial"/>
          <w:sz w:val="22"/>
        </w:rPr>
        <w:t xml:space="preserve">); verified via tests that generate the real migration SQL through EF Core's </w:t>
      </w:r>
      <w:r>
        <w:rPr>
          <w:rFonts w:ascii="Consolas" w:hAnsi="Consolas"/>
          <w:rFonts w:ascii="Consolas" w:hAnsi="Consolas"/>
          <w:sz w:val="20"/>
        </w:rPr>
        <w:t>IMigrator.GenerateScript()</w:t>
      </w:r>
      <w:r>
        <w:rPr>
          <w:rFonts w:ascii="Arial" w:hAnsi="Arial"/>
          <w:sz w:val="22"/>
        </w:rPr>
        <w:t xml:space="preserve"> against an Npgsql-configured context and assert the exact </w:t>
      </w:r>
      <w:r>
        <w:rPr>
          <w:rFonts w:ascii="Consolas" w:hAnsi="Consolas"/>
          <w:rFonts w:ascii="Consolas" w:hAnsi="Consolas"/>
          <w:sz w:val="20"/>
        </w:rPr>
        <w:t>REVOKE</w:t>
      </w:r>
      <w:r>
        <w:rPr>
          <w:rFonts w:ascii="Arial" w:hAnsi="Arial"/>
          <w:sz w:val="22"/>
        </w:rPr>
        <w:t xml:space="preserve"> statement, migration ordering, and that </w:t>
      </w:r>
      <w:r>
        <w:rPr>
          <w:rFonts w:ascii="Consolas" w:hAnsi="Consolas"/>
          <w:rFonts w:ascii="Consolas" w:hAnsi="Consolas"/>
          <w:sz w:val="20"/>
        </w:rPr>
        <w:t>INSERT</w:t>
      </w:r>
      <w:r>
        <w:rPr>
          <w:rFonts w:ascii="Arial" w:hAnsi="Arial"/>
          <w:sz w:val="22"/>
        </w:rPr>
        <w:t>/</w:t>
      </w:r>
      <w:r>
        <w:rPr>
          <w:rFonts w:ascii="Consolas" w:hAnsi="Consolas"/>
          <w:rFonts w:ascii="Consolas" w:hAnsi="Consolas"/>
          <w:sz w:val="20"/>
        </w:rPr>
        <w:t>TRUNCATE</w:t>
      </w:r>
      <w:r>
        <w:rPr>
          <w:rFonts w:ascii="Arial" w:hAnsi="Arial"/>
          <w:sz w:val="22"/>
        </w:rPr>
        <w:t xml:space="preserve"> are untouched (</w:t>
      </w:r>
      <w:r>
        <w:rPr>
          <w:rFonts w:ascii="Consolas" w:hAnsi="Consolas"/>
          <w:rFonts w:ascii="Consolas" w:hAnsi="Consolas"/>
          <w:sz w:val="20"/>
        </w:rPr>
        <w:t>tests/Vlms.Tests/Infrastructure/MigrationsTests.cs</w:t>
      </w:r>
      <w:r>
        <w:rPr>
          <w:rFonts w:ascii="Arial" w:hAnsi="Arial"/>
          <w:sz w:val="22"/>
        </w:rPr>
        <w:t xml:space="preserve">) — structurally correct, not yet exercised against a live PostgreSQL server, the same status other provider-dependent code in this repo carries until a live resource exists; it proves the literal statement is present, not that it achieves </w:t>
      </w:r>
      <w:r>
        <w:rPr>
          <w:rFonts w:ascii="Consolas" w:hAnsi="Consolas"/>
          <w:rFonts w:ascii="Consolas" w:hAnsi="Consolas"/>
          <w:sz w:val="20"/>
        </w:rPr>
        <w:t>DENY</w:t>
      </w:r>
      <w:r>
        <w:rPr>
          <w:rFonts w:ascii="Arial" w:hAnsi="Arial"/>
          <w:sz w:val="22"/>
        </w:rPr>
        <w:t>'s override semantics, which it verifiably doesn't (above). The 6-year retention itself (a purge/retention job) is a separate, not-yet-built concern — out of scope for this tamper-protection item.</w:t>
      </w:r>
    </w:p>
    <w:p>
      <w:pPr>
        <w:spacing w:after="40"/>
        <w:ind w:left="720" w:hanging="360"/>
      </w:pPr>
      <w:r>
        <w:rPr>
          <w:rFonts w:ascii="Arial" w:hAnsi="Arial"/>
          <w:sz w:val="22"/>
        </w:rPr>
        <w:t xml:space="preserve">5.  </w:t>
      </w:r>
      <w:r>
        <w:rPr>
          <w:rFonts w:ascii="Arial" w:hAnsi="Arial"/>
          <w:b/>
          <w:sz w:val="22"/>
        </w:rPr>
        <w:t>MFA-gated roles (pass 7 — `STATE.md` "Identity" item, item 4 of that item's own scope).</w:t>
      </w:r>
      <w:r>
        <w:rPr>
          <w:rFonts w:ascii="Arial" w:hAnsi="Arial"/>
          <w:sz w:val="22"/>
        </w:rPr>
        <w:t xml:space="preserve"> When the identity provider was swapped from Microsoft Entra External ID to self-rolled ASP.NET Core Identity with built-in TOTP MFA, the </w:t>
      </w:r>
      <w:r>
        <w:rPr>
          <w:rFonts w:ascii="Consolas" w:hAnsi="Consolas"/>
          <w:rFonts w:ascii="Consolas" w:hAnsi="Consolas"/>
          <w:sz w:val="20"/>
        </w:rPr>
        <w:t>HasQueryFilter</w:t>
      </w:r>
      <w:r>
        <w:rPr>
          <w:rFonts w:ascii="Arial" w:hAnsi="Arial"/>
          <w:sz w:val="22"/>
        </w:rPr>
        <w:t xml:space="preserve"> predicates on </w:t>
      </w:r>
      <w:r>
        <w:rPr>
          <w:rFonts w:ascii="Consolas" w:hAnsi="Consolas"/>
          <w:rFonts w:ascii="Consolas" w:hAnsi="Consolas"/>
          <w:sz w:val="20"/>
        </w:rPr>
        <w:t>DbsCheck</w:t>
      </w:r>
      <w:r>
        <w:rPr>
          <w:rFonts w:ascii="Arial" w:hAnsi="Arial"/>
          <w:sz w:val="22"/>
        </w:rPr>
        <w:t xml:space="preserve"> and </w:t>
      </w:r>
      <w:r>
        <w:rPr>
          <w:rFonts w:ascii="Consolas" w:hAnsi="Consolas"/>
          <w:rFonts w:ascii="Consolas" w:hAnsi="Consolas"/>
          <w:sz w:val="20"/>
        </w:rPr>
        <w:t>ConsentSensitiveDetails</w:t>
      </w:r>
      <w:r>
        <w:rPr>
          <w:rFonts w:ascii="Arial" w:hAnsi="Arial"/>
          <w:sz w:val="22"/>
        </w:rPr>
        <w:t xml:space="preserve"> gained a second conjunct:</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 xml:space="preserve">   e.HasQueryFilter(x =&gt;</w:t>
            </w:r>
          </w:p>
          <w:p>
            <w:pPr>
              <w:spacing w:after="0" w:before="0" w:line="240" w:lineRule="auto"/>
            </w:pPr>
            <w:r>
              <w:rPr>
                <w:rFonts w:ascii="Consolas" w:hAnsi="Consolas"/>
                <w:color w:val="1A1A1A"/>
                <w:sz w:val="17"/>
                <w:rFonts w:ascii="Consolas" w:hAnsi="Consolas"/>
              </w:rPr>
              <w:t xml:space="preserve">       (_currentUser.HasRole(Role.Admin) || _currentUser.HasRole(Role.SafeguardingOfficer))</w:t>
            </w:r>
          </w:p>
          <w:p>
            <w:pPr>
              <w:spacing w:after="0" w:before="0" w:line="240" w:lineRule="auto"/>
            </w:pPr>
            <w:r>
              <w:rPr>
                <w:rFonts w:ascii="Consolas" w:hAnsi="Consolas"/>
                <w:color w:val="1A1A1A"/>
                <w:sz w:val="17"/>
                <w:rFonts w:ascii="Consolas" w:hAnsi="Consolas"/>
              </w:rPr>
              <w:t xml:space="preserve">       &amp;&amp; _currentUser.HasMfaEnabled);</w:t>
            </w:r>
          </w:p>
        </w:tc>
      </w:tr>
    </w:tbl>
    <w:p>
      <w:pPr>
        <w:spacing w:after="80"/>
      </w:pPr>
    </w:p>
    <w:p>
      <w:pPr>
        <w:spacing w:after="80"/>
      </w:pPr>
      <w:r>
        <w:rPr>
          <w:rFonts w:ascii="Arial" w:hAnsi="Arial"/>
          <w:b/>
          <w:sz w:val="22"/>
        </w:rPr>
        <w:t>(a) Why the query filter, not just the pages.</w:t>
      </w:r>
      <w:r>
        <w:rPr>
          <w:rFonts w:ascii="Arial" w:hAnsi="Arial"/>
          <w:sz w:val="22"/>
        </w:rPr>
        <w:t xml:space="preserve"> The same identity-swap item also added a new </w:t>
      </w:r>
      <w:r>
        <w:rPr>
          <w:rFonts w:ascii="Consolas" w:hAnsi="Consolas"/>
          <w:rFonts w:ascii="Consolas" w:hAnsi="Consolas"/>
          <w:sz w:val="20"/>
        </w:rPr>
        <w:t>MfaRequirement</w:t>
      </w:r>
      <w:r>
        <w:rPr>
          <w:rFonts w:ascii="Arial" w:hAnsi="Arial"/>
          <w:sz w:val="22"/>
        </w:rPr>
        <w:t>/</w:t>
      </w:r>
      <w:r>
        <w:rPr>
          <w:rFonts w:ascii="Consolas" w:hAnsi="Consolas"/>
          <w:rFonts w:ascii="Consolas" w:hAnsi="Consolas"/>
          <w:sz w:val="20"/>
        </w:rPr>
        <w:t>MfaRequirementHandler</w:t>
      </w:r>
      <w:r>
        <w:rPr>
          <w:rFonts w:ascii="Arial" w:hAnsi="Arial"/>
          <w:sz w:val="22"/>
        </w:rPr>
        <w:t xml:space="preserve"> that rides every </w:t>
      </w:r>
      <w:r>
        <w:rPr>
          <w:rFonts w:ascii="Consolas" w:hAnsi="Consolas"/>
          <w:rFonts w:ascii="Consolas" w:hAnsi="Consolas"/>
          <w:sz w:val="20"/>
        </w:rPr>
        <w:t>AddAuthorization</w:t>
      </w:r>
      <w:r>
        <w:rPr>
          <w:rFonts w:ascii="Arial" w:hAnsi="Arial"/>
          <w:sz w:val="22"/>
        </w:rPr>
        <w:t xml:space="preserve"> policy in </w:t>
      </w:r>
      <w:r>
        <w:rPr>
          <w:rFonts w:ascii="Consolas" w:hAnsi="Consolas"/>
          <w:rFonts w:ascii="Consolas" w:hAnsi="Consolas"/>
          <w:sz w:val="20"/>
        </w:rPr>
        <w:t>Program.cs</w:t>
      </w:r>
      <w:r>
        <w:rPr>
          <w:rFonts w:ascii="Arial" w:hAnsi="Arial"/>
          <w:sz w:val="22"/>
        </w:rPr>
        <w:t xml:space="preserve"> — including the </w:t>
      </w:r>
      <w:r>
        <w:rPr>
          <w:rFonts w:ascii="Consolas" w:hAnsi="Consolas"/>
          <w:rFonts w:ascii="Consolas" w:hAnsi="Consolas"/>
          <w:sz w:val="20"/>
        </w:rPr>
        <w:t>/safeguarding/*</w:t>
      </w:r>
      <w:r>
        <w:rPr>
          <w:rFonts w:ascii="Arial" w:hAnsi="Arial"/>
          <w:sz w:val="22"/>
        </w:rPr>
        <w:t xml:space="preserve"> pages that are the only intended UI path to these two entities. That page-level gate is necessary but not sufficient: </w:t>
      </w:r>
      <w:r>
        <w:rPr>
          <w:rFonts w:ascii="Consolas" w:hAnsi="Consolas"/>
          <w:rFonts w:ascii="Consolas" w:hAnsi="Consolas"/>
          <w:sz w:val="20"/>
        </w:rPr>
        <w:t>VlmsDbContext</w:t>
      </w:r>
      <w:r>
        <w:rPr>
          <w:rFonts w:ascii="Arial" w:hAnsi="Arial"/>
          <w:sz w:val="22"/>
        </w:rPr>
        <w:t xml:space="preserve"> is also consumed directly by other code that isn't a gated page (</w:t>
      </w:r>
      <w:r>
        <w:rPr>
          <w:rFonts w:ascii="Consolas" w:hAnsi="Consolas"/>
          <w:rFonts w:ascii="Consolas" w:hAnsi="Consolas"/>
          <w:sz w:val="20"/>
        </w:rPr>
        <w:t>ConsentExpiryJob</w:t>
      </w:r>
      <w:r>
        <w:rPr>
          <w:rFonts w:ascii="Arial" w:hAnsi="Arial"/>
          <w:sz w:val="22"/>
        </w:rPr>
        <w:t xml:space="preserve">'s daily sweep, </w:t>
      </w:r>
      <w:r>
        <w:rPr>
          <w:rFonts w:ascii="Consolas" w:hAnsi="Consolas"/>
          <w:rFonts w:ascii="Consolas" w:hAnsi="Consolas"/>
          <w:sz w:val="20"/>
        </w:rPr>
        <w:t>ProgressReportingService</w:t>
      </w:r>
      <w:r>
        <w:rPr>
          <w:rFonts w:ascii="Arial" w:hAnsi="Arial"/>
          <w:sz w:val="22"/>
        </w:rPr>
        <w:t xml:space="preserve">, any future reporting/export feature), and this ADR's own governing principle (Decision §2: "restriction must be structural, not a per-call convention a future caller might forget") applies exactly as much to "did this caller pass the MFA check" as it already applies to "does this caller hold the right role" — an Admin/SafeguardingOfficer who has not yet enrolled MFA is denied the safeguarding pages by </w:t>
      </w:r>
      <w:r>
        <w:rPr>
          <w:rFonts w:ascii="Consolas" w:hAnsi="Consolas"/>
          <w:rFonts w:ascii="Consolas" w:hAnsi="Consolas"/>
          <w:sz w:val="20"/>
        </w:rPr>
        <w:t>MfaRequirementHandler</w:t>
      </w:r>
      <w:r>
        <w:rPr>
          <w:rFonts w:ascii="Arial" w:hAnsi="Arial"/>
          <w:sz w:val="22"/>
        </w:rPr>
        <w:t xml:space="preserve">, but without this conjunct they could still read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in full through any other code path that queries the </w:t>
      </w:r>
      <w:r>
        <w:rPr>
          <w:rFonts w:ascii="Consolas" w:hAnsi="Consolas"/>
          <w:rFonts w:ascii="Consolas" w:hAnsi="Consolas"/>
          <w:sz w:val="20"/>
        </w:rPr>
        <w:t>DbContext</w:t>
      </w:r>
      <w:r>
        <w:rPr>
          <w:rFonts w:ascii="Arial" w:hAnsi="Arial"/>
          <w:sz w:val="22"/>
        </w:rPr>
        <w:t xml:space="preserve"> directly, since nothing at the data layer would stop them. Putting the check in the query filter closes that gap the same way the filter itself already closes the analogous "some other page/service forgets to check the role" gap — one structural mechanism, not two independently-maintained ones (a page check and a data check) that could drift apart.</w:t>
      </w:r>
    </w:p>
    <w:p>
      <w:pPr>
        <w:spacing w:after="80"/>
      </w:pPr>
      <w:r>
        <w:rPr>
          <w:rFonts w:ascii="Arial" w:hAnsi="Arial"/>
          <w:b/>
          <w:sz w:val="22"/>
        </w:rPr>
        <w:t>(b) Why `SystemCurrentUserContext.HasMfaEnabled` is hardcoded `true`.</w:t>
      </w:r>
      <w:r>
        <w:rPr>
          <w:rFonts w:ascii="Arial" w:hAnsi="Arial"/>
          <w:sz w:val="22"/>
        </w:rPr>
        <w:t xml:space="preserve"> </w:t>
      </w:r>
      <w:r>
        <w:rPr>
          <w:rFonts w:ascii="Consolas" w:hAnsi="Consolas"/>
          <w:rFonts w:ascii="Consolas" w:hAnsi="Consolas"/>
          <w:sz w:val="20"/>
        </w:rPr>
        <w:t>ConsentExpiryJob</w:t>
      </w:r>
      <w:r>
        <w:rPr>
          <w:rFonts w:ascii="Arial" w:hAnsi="Arial"/>
          <w:sz w:val="22"/>
        </w:rPr>
        <w:t xml:space="preserve"> (the one caller of </w:t>
      </w:r>
      <w:r>
        <w:rPr>
          <w:rFonts w:ascii="Consolas" w:hAnsi="Consolas"/>
          <w:rFonts w:ascii="Consolas" w:hAnsi="Consolas"/>
          <w:sz w:val="20"/>
        </w:rPr>
        <w:t>SystemCurrentUserContext</w:t>
      </w:r>
      <w:r>
        <w:rPr>
          <w:rFonts w:ascii="Arial" w:hAnsi="Arial"/>
          <w:sz w:val="22"/>
        </w:rPr>
        <w:t xml:space="preserve">, </w:t>
      </w:r>
      <w:r>
        <w:rPr>
          <w:rFonts w:ascii="Consolas" w:hAnsi="Consolas"/>
          <w:rFonts w:ascii="Consolas" w:hAnsi="Consolas"/>
          <w:sz w:val="20"/>
        </w:rPr>
        <w:t>Vlms.Jobs</w:t>
      </w:r>
      <w:r>
        <w:rPr>
          <w:rFonts w:ascii="Arial" w:hAnsi="Arial"/>
          <w:sz w:val="22"/>
        </w:rPr>
        <w:t xml:space="preserve">) is a scheduled background process with no signed-in human operator — TOTP MFA is a control on interactive sign-in by a person, and there is no session, credential, or Identity row for a system principal to have "enabled" it against. Requiring </w:t>
      </w:r>
      <w:r>
        <w:rPr>
          <w:rFonts w:ascii="Consolas" w:hAnsi="Consolas"/>
          <w:rFonts w:ascii="Consolas" w:hAnsi="Consolas"/>
          <w:sz w:val="20"/>
        </w:rPr>
        <w:t>HasMfaEnabled</w:t>
      </w:r>
      <w:r>
        <w:rPr>
          <w:rFonts w:ascii="Arial" w:hAnsi="Arial"/>
          <w:sz w:val="22"/>
        </w:rPr>
        <w:t xml:space="preserve"> to be </w:t>
      </w:r>
      <w:r>
        <w:rPr>
          <w:rFonts w:ascii="Consolas" w:hAnsi="Consolas"/>
          <w:rFonts w:ascii="Consolas" w:hAnsi="Consolas"/>
          <w:sz w:val="20"/>
        </w:rPr>
        <w:t>false</w:t>
      </w:r>
      <w:r>
        <w:rPr>
          <w:rFonts w:ascii="Arial" w:hAnsi="Arial"/>
          <w:sz w:val="22"/>
        </w:rPr>
        <w:t xml:space="preserve"> (or unresolvable) for a non-human caller would silently break the daily consent/DBS expiry sweep — the one place this codebase already depends on reading </w:t>
      </w:r>
      <w:r>
        <w:rPr>
          <w:rFonts w:ascii="Consolas" w:hAnsi="Consolas"/>
          <w:rFonts w:ascii="Consolas" w:hAnsi="Consolas"/>
          <w:sz w:val="20"/>
        </w:rPr>
        <w:t>DbsCheck</w:t>
      </w:r>
      <w:r>
        <w:rPr>
          <w:rFonts w:ascii="Arial" w:hAnsi="Arial"/>
          <w:sz w:val="22"/>
        </w:rPr>
        <w:t xml:space="preserve"> through the normal filtered/audited path (never </w:t>
      </w:r>
      <w:r>
        <w:rPr>
          <w:rFonts w:ascii="Consolas" w:hAnsi="Consolas"/>
          <w:rFonts w:ascii="Consolas" w:hAnsi="Consolas"/>
          <w:sz w:val="20"/>
        </w:rPr>
        <w:t>IgnoreQueryFilters()</w:t>
      </w:r>
      <w:r>
        <w:rPr>
          <w:rFonts w:ascii="Arial" w:hAnsi="Arial"/>
          <w:sz w:val="22"/>
        </w:rPr>
        <w:t xml:space="preserve">) — for a reason that has nothing to do with what the MFA control actually protects against (a compromised or shared human credential). </w:t>
      </w:r>
      <w:r>
        <w:rPr>
          <w:rFonts w:ascii="Consolas" w:hAnsi="Consolas"/>
          <w:rFonts w:ascii="Consolas" w:hAnsi="Consolas"/>
          <w:sz w:val="20"/>
        </w:rPr>
        <w:t>SystemCurrentUserContext.HasRole</w:t>
      </w:r>
      <w:r>
        <w:rPr>
          <w:rFonts w:ascii="Arial" w:hAnsi="Arial"/>
          <w:sz w:val="22"/>
        </w:rPr>
        <w:t xml:space="preserve"> is already narrowly scoped to exactly </w:t>
      </w:r>
      <w:r>
        <w:rPr>
          <w:rFonts w:ascii="Consolas" w:hAnsi="Consolas"/>
          <w:rFonts w:ascii="Consolas" w:hAnsi="Consolas"/>
          <w:sz w:val="20"/>
        </w:rPr>
        <w:t>Role.Admin</w:t>
      </w:r>
      <w:r>
        <w:rPr>
          <w:rFonts w:ascii="Arial" w:hAnsi="Arial"/>
          <w:sz w:val="22"/>
        </w:rPr>
        <w:t>/</w:t>
      </w:r>
      <w:r>
        <w:rPr>
          <w:rFonts w:ascii="Consolas" w:hAnsi="Consolas"/>
          <w:rFonts w:ascii="Consolas" w:hAnsi="Consolas"/>
          <w:sz w:val="20"/>
        </w:rPr>
        <w:t>Role.SafeguardingOfficer</w:t>
      </w:r>
      <w:r>
        <w:rPr>
          <w:rFonts w:ascii="Arial" w:hAnsi="Arial"/>
          <w:sz w:val="22"/>
        </w:rPr>
        <w:t xml:space="preserve"> (precisely what the filter checks), not a general bypass; hardcoding </w:t>
      </w:r>
      <w:r>
        <w:rPr>
          <w:rFonts w:ascii="Consolas" w:hAnsi="Consolas"/>
          <w:rFonts w:ascii="Consolas" w:hAnsi="Consolas"/>
          <w:sz w:val="20"/>
        </w:rPr>
        <w:t>HasMfaEnabled = true</w:t>
      </w:r>
      <w:r>
        <w:rPr>
          <w:rFonts w:ascii="Arial" w:hAnsi="Arial"/>
          <w:sz w:val="22"/>
        </w:rPr>
        <w:t xml:space="preserve"> is the same narrow-scoping discipline applied to the new conjunct, not a loophole — it does not let </w:t>
      </w:r>
      <w:r>
        <w:rPr>
          <w:rFonts w:ascii="Consolas" w:hAnsi="Consolas"/>
          <w:rFonts w:ascii="Consolas" w:hAnsi="Consolas"/>
          <w:sz w:val="20"/>
        </w:rPr>
        <w:t>SystemCurrentUserContext</w:t>
      </w:r>
      <w:r>
        <w:rPr>
          <w:rFonts w:ascii="Arial" w:hAnsi="Arial"/>
          <w:sz w:val="22"/>
        </w:rPr>
        <w:t xml:space="preserve"> read anything a correctly-configured human Admin/SafeguardingOfficer couldn't also read.</w:t>
      </w:r>
    </w:p>
    <w:p>
      <w:pPr>
        <w:spacing w:after="80"/>
      </w:pPr>
      <w:r>
        <w:rPr>
          <w:rFonts w:ascii="Arial" w:hAnsi="Arial"/>
          <w:sz w:val="22"/>
        </w:rPr>
        <w:t xml:space="preserve">Enforced globally for Admin/SafeguardingOfficer specifically (both at the query filter and via </w:t>
      </w:r>
      <w:r>
        <w:rPr>
          <w:rFonts w:ascii="Consolas" w:hAnsi="Consolas"/>
          <w:rFonts w:ascii="Consolas" w:hAnsi="Consolas"/>
          <w:sz w:val="20"/>
        </w:rPr>
        <w:t>MfaRequirement</w:t>
      </w:r>
      <w:r>
        <w:rPr>
          <w:rFonts w:ascii="Arial" w:hAnsi="Arial"/>
          <w:sz w:val="22"/>
        </w:rPr>
        <w:t xml:space="preserve"> on every policy); offered, never required, to every other role — see </w:t>
      </w:r>
      <w:r>
        <w:rPr>
          <w:rFonts w:ascii="Consolas" w:hAnsi="Consolas"/>
          <w:rFonts w:ascii="Consolas" w:hAnsi="Consolas"/>
          <w:sz w:val="20"/>
        </w:rPr>
        <w:t>openwiki/authentication-authorization.md</w:t>
      </w:r>
      <w:r>
        <w:rPr>
          <w:rFonts w:ascii="Arial" w:hAnsi="Arial"/>
          <w:sz w:val="22"/>
        </w:rPr>
        <w:t xml:space="preserve">'s MFA section for the full scope decision and </w:t>
      </w:r>
      <w:r>
        <w:rPr>
          <w:rFonts w:ascii="Consolas" w:hAnsi="Consolas"/>
          <w:rFonts w:ascii="Consolas" w:hAnsi="Consolas"/>
          <w:sz w:val="20"/>
        </w:rPr>
        <w:t>openwiki/access-control.md</w:t>
      </w:r>
      <w:r>
        <w:rPr>
          <w:rFonts w:ascii="Arial" w:hAnsi="Arial"/>
          <w:sz w:val="22"/>
        </w:rPr>
        <w:t xml:space="preserve">'s mechanism section for the current query-filter text. Tested in </w:t>
      </w:r>
      <w:r>
        <w:rPr>
          <w:rFonts w:ascii="Consolas" w:hAnsi="Consolas"/>
          <w:rFonts w:ascii="Consolas" w:hAnsi="Consolas"/>
          <w:sz w:val="20"/>
        </w:rPr>
        <w:t>tests/Vlms.Tests/Infrastructure/SensitiveDataAccessControlTests.cs</w:t>
      </w:r>
      <w:r>
        <w:rPr>
          <w:rFonts w:ascii="Arial" w:hAnsi="Arial"/>
          <w:sz w:val="22"/>
        </w:rPr>
        <w:t>'s "MFA-gated roles" cases (Admin/SafeguardingOfficer denied without MFA; SafeguardingOfficer allowed with it, confirming the denial is about MFA specifically and not a role regression).</w:t>
      </w:r>
    </w:p>
    <w:p>
      <w:pPr>
        <w:spacing w:after="40"/>
        <w:ind w:left="720" w:hanging="360"/>
      </w:pPr>
      <w:r>
        <w:rPr>
          <w:rFonts w:ascii="Arial" w:hAnsi="Arial"/>
          <w:sz w:val="22"/>
        </w:rPr>
        <w:t xml:space="preserve">6.  </w:t>
      </w:r>
      <w:r>
        <w:rPr>
          <w:rFonts w:ascii="Arial" w:hAnsi="Arial"/>
          <w:b/>
          <w:sz w:val="22"/>
        </w:rPr>
        <w:t>Row-Level Security on `sensitive_data_access_logs` (pass 8 — closing the pass-6 gap `STATE.md`'s hosting-pivot item deferred, per that item's own instruction to build it as a separate, higher-scrutiny follow-up).</w:t>
      </w:r>
      <w:r>
        <w:rPr>
          <w:rFonts w:ascii="Arial" w:hAnsi="Arial"/>
          <w:sz w:val="22"/>
        </w:rPr>
        <w:t xml:space="preserve"> New migration </w:t>
      </w:r>
      <w:r>
        <w:rPr>
          <w:rFonts w:ascii="Consolas" w:hAnsi="Consolas"/>
          <w:rFonts w:ascii="Consolas" w:hAnsi="Consolas"/>
          <w:sz w:val="20"/>
        </w:rPr>
        <w:t>EnforceRowLevelSecurityOnSensitiveDataAccessLog</w:t>
      </w:r>
      <w:r>
        <w:rPr>
          <w:rFonts w:ascii="Arial" w:hAnsi="Arial"/>
          <w:sz w:val="22"/>
        </w:rPr>
        <w:t xml:space="preserve"> (applied after </w:t>
      </w:r>
      <w:r>
        <w:rPr>
          <w:rFonts w:ascii="Consolas" w:hAnsi="Consolas"/>
          <w:rFonts w:ascii="Consolas" w:hAnsi="Consolas"/>
          <w:sz w:val="20"/>
        </w:rPr>
        <w:t>RevokeUpdateDeleteOnSensitiveDataAccessLog</w:t>
      </w:r>
      <w:r>
        <w:rPr>
          <w:rFonts w:ascii="Arial" w:hAnsi="Arial"/>
          <w:sz w:val="22"/>
        </w:rPr>
        <w:t>, which is left unmodified — this project's convention is to never rewrite a committed migration):</w:t>
      </w:r>
    </w:p>
    <w:tbl>
      <w:tblPr>
        <w:tblW w:type="auto" w:w="0"/>
        <w:jc w:val="center"/>
        <w:tblLook w:firstColumn="1" w:firstRow="1" w:lastColumn="0" w:lastRow="0" w:noHBand="0" w:noVBand="1" w:val="04A0"/>
      </w:tblPr>
      <w:tblGrid>
        <w:gridCol w:w="9026"/>
      </w:tblGrid>
      <w:tr>
        <w:tc>
          <w:tcPr>
            <w:tcW w:type="dxa" w:w="9026"/>
            <w:shd w:val="clear" w:color="auto" w:fill="F6F7F9"/>
            <w:tcBorders>
              <w:left w:val="single" w:sz="24" w:color="9CA3AF"/>
              <w:top w:val="single" w:sz="6" w:color="9CA3AF"/>
              <w:bottom w:val="single" w:sz="6" w:color="9CA3AF"/>
              <w:right w:val="single" w:sz="6" w:color="9CA3AF"/>
            </w:tcBorders>
          </w:tcPr>
          <w:p>
            <w:pPr>
              <w:spacing w:after="0" w:before="0" w:line="240" w:lineRule="auto"/>
            </w:pPr>
            <w:r>
              <w:rPr>
                <w:rFonts w:ascii="Consolas" w:hAnsi="Consolas"/>
                <w:color w:val="1A1A1A"/>
                <w:sz w:val="17"/>
                <w:rFonts w:ascii="Consolas" w:hAnsi="Consolas"/>
              </w:rPr>
              <w:t xml:space="preserve">   ALTER TABLE sensitive_data_access_logs ENABLE ROW LEVEL SECURITY;</w:t>
            </w:r>
          </w:p>
          <w:p>
            <w:pPr>
              <w:spacing w:after="0" w:before="0" w:line="240" w:lineRule="auto"/>
            </w:pPr>
            <w:r>
              <w:rPr>
                <w:rFonts w:ascii="Consolas" w:hAnsi="Consolas"/>
                <w:color w:val="1A1A1A"/>
                <w:sz w:val="17"/>
                <w:rFonts w:ascii="Consolas" w:hAnsi="Consolas"/>
              </w:rPr>
              <w:t xml:space="preserve">   ALTER TABLE sensitive_data_access_logs FORCE ROW LEVEL SECURITY;</w:t>
            </w:r>
          </w:p>
          <w:p>
            <w:pPr>
              <w:spacing w:after="0" w:before="0" w:line="240" w:lineRule="auto"/>
            </w:pPr>
            <w:r>
              <w:rPr>
                <w:rFonts w:ascii="Consolas" w:hAnsi="Consolas"/>
                <w:color w:val="1A1A1A"/>
                <w:sz w:val="17"/>
                <w:rFonts w:ascii="Consolas" w:hAnsi="Consolas"/>
              </w:rPr>
              <w:t xml:space="preserve"> </w:t>
            </w:r>
          </w:p>
          <w:p>
            <w:pPr>
              <w:spacing w:after="0" w:before="0" w:line="240" w:lineRule="auto"/>
            </w:pPr>
            <w:r>
              <w:rPr>
                <w:rFonts w:ascii="Consolas" w:hAnsi="Consolas"/>
                <w:color w:val="1A1A1A"/>
                <w:sz w:val="17"/>
                <w:rFonts w:ascii="Consolas" w:hAnsi="Consolas"/>
              </w:rPr>
              <w:t xml:space="preserve">   CREATE POLICY sensitive_data_access_logs_allow_select</w:t>
            </w:r>
          </w:p>
          <w:p>
            <w:pPr>
              <w:spacing w:after="0" w:before="0" w:line="240" w:lineRule="auto"/>
            </w:pPr>
            <w:r>
              <w:rPr>
                <w:rFonts w:ascii="Consolas" w:hAnsi="Consolas"/>
                <w:color w:val="1A1A1A"/>
                <w:sz w:val="17"/>
                <w:rFonts w:ascii="Consolas" w:hAnsi="Consolas"/>
              </w:rPr>
              <w:t xml:space="preserve">       ON sensitive_data_access_logs FOR SELECT USING (true);</w:t>
            </w:r>
          </w:p>
          <w:p>
            <w:pPr>
              <w:spacing w:after="0" w:before="0" w:line="240" w:lineRule="auto"/>
            </w:pPr>
            <w:r>
              <w:rPr>
                <w:rFonts w:ascii="Consolas" w:hAnsi="Consolas"/>
                <w:color w:val="1A1A1A"/>
                <w:sz w:val="17"/>
                <w:rFonts w:ascii="Consolas" w:hAnsi="Consolas"/>
              </w:rPr>
              <w:t xml:space="preserve"> </w:t>
            </w:r>
          </w:p>
          <w:p>
            <w:pPr>
              <w:spacing w:after="0" w:before="0" w:line="240" w:lineRule="auto"/>
            </w:pPr>
            <w:r>
              <w:rPr>
                <w:rFonts w:ascii="Consolas" w:hAnsi="Consolas"/>
                <w:color w:val="1A1A1A"/>
                <w:sz w:val="17"/>
                <w:rFonts w:ascii="Consolas" w:hAnsi="Consolas"/>
              </w:rPr>
              <w:t xml:space="preserve">   CREATE POLICY sensitive_data_access_logs_allow_insert</w:t>
            </w:r>
          </w:p>
          <w:p>
            <w:pPr>
              <w:spacing w:after="0" w:before="0" w:line="240" w:lineRule="auto"/>
            </w:pPr>
            <w:r>
              <w:rPr>
                <w:rFonts w:ascii="Consolas" w:hAnsi="Consolas"/>
                <w:color w:val="1A1A1A"/>
                <w:sz w:val="17"/>
                <w:rFonts w:ascii="Consolas" w:hAnsi="Consolas"/>
              </w:rPr>
              <w:t xml:space="preserve">       ON sensitive_data_access_logs FOR INSERT WITH CHECK (true);</w:t>
            </w:r>
          </w:p>
          <w:p>
            <w:pPr>
              <w:spacing w:after="0" w:before="0" w:line="240" w:lineRule="auto"/>
            </w:pPr>
            <w:r>
              <w:rPr>
                <w:rFonts w:ascii="Consolas" w:hAnsi="Consolas"/>
                <w:color w:val="1A1A1A"/>
                <w:sz w:val="17"/>
                <w:rFonts w:ascii="Consolas" w:hAnsi="Consolas"/>
              </w:rPr>
              <w:t xml:space="preserve"> </w:t>
            </w:r>
          </w:p>
          <w:p>
            <w:pPr>
              <w:spacing w:after="0" w:before="0" w:line="240" w:lineRule="auto"/>
            </w:pPr>
            <w:r>
              <w:rPr>
                <w:rFonts w:ascii="Consolas" w:hAnsi="Consolas"/>
                <w:color w:val="1A1A1A"/>
                <w:sz w:val="17"/>
                <w:rFonts w:ascii="Consolas" w:hAnsi="Consolas"/>
              </w:rPr>
              <w:t xml:space="preserve">   -- Deliberately no UPDATE/DELETE policy.</w:t>
            </w:r>
          </w:p>
        </w:tc>
      </w:tr>
    </w:tbl>
    <w:p>
      <w:pPr>
        <w:spacing w:after="80"/>
      </w:pPr>
    </w:p>
    <w:p>
      <w:pPr>
        <w:spacing w:after="80"/>
      </w:pPr>
      <w:r>
        <w:rPr>
          <w:rFonts w:ascii="Arial" w:hAnsi="Arial"/>
          <w:b/>
          <w:sz w:val="22"/>
        </w:rPr>
        <w:t>(a) What RLS adds that `REVOKE` alone didn't: owner-inclusive denial.</w:t>
      </w:r>
      <w:r>
        <w:rPr>
          <w:rFonts w:ascii="Arial" w:hAnsi="Arial"/>
          <w:sz w:val="22"/>
        </w:rPr>
        <w:t xml:space="preserve"> Verified against Row Security Policies (https://www.postgresql.org/docs/current/ddl-rowsecurity.html), </w:t>
      </w:r>
      <w:r>
        <w:rPr>
          <w:rFonts w:ascii="Consolas" w:hAnsi="Consolas"/>
          <w:rFonts w:ascii="Consolas" w:hAnsi="Consolas"/>
          <w:sz w:val="20"/>
        </w:rPr>
        <w:t>ALTER TABLE</w:t>
      </w:r>
      <w:r>
        <w:rPr>
          <w:rFonts w:ascii="Arial" w:hAnsi="Arial"/>
          <w:sz w:val="22"/>
        </w:rPr>
        <w:t xml:space="preserve"> (https://www.postgresql.org/docs/current/sql-altertable.html), and </w:t>
      </w:r>
      <w:r>
        <w:rPr>
          <w:rFonts w:ascii="Consolas" w:hAnsi="Consolas"/>
          <w:rFonts w:ascii="Consolas" w:hAnsi="Consolas"/>
          <w:sz w:val="20"/>
        </w:rPr>
        <w:t>CREATE ROLE</w:t>
      </w:r>
      <w:r>
        <w:rPr>
          <w:rFonts w:ascii="Arial" w:hAnsi="Arial"/>
          <w:sz w:val="22"/>
        </w:rPr>
        <w:t xml:space="preserve"> (https://www.postgresql.org/docs/current/sql-createrole.html) rather than assumed a second time from the SQL Server mental model:</w:t>
      </w:r>
    </w:p>
    <w:p>
      <w:pPr>
        <w:spacing w:after="40"/>
        <w:ind w:left="1700" w:hanging="260"/>
      </w:pPr>
      <w:r>
        <w:rPr>
          <w:rFonts w:ascii="Arial" w:hAnsi="Arial"/>
          <w:sz w:val="22"/>
        </w:rPr>
        <w:t xml:space="preserve">–  </w:t>
      </w:r>
      <w:r>
        <w:rPr>
          <w:rFonts w:ascii="Consolas" w:hAnsi="Consolas"/>
          <w:rFonts w:ascii="Consolas" w:hAnsi="Consolas"/>
          <w:sz w:val="20"/>
        </w:rPr>
        <w:t>ENABLE ROW LEVEL SECURITY</w:t>
      </w:r>
      <w:r>
        <w:rPr>
          <w:rFonts w:ascii="Arial" w:hAnsi="Arial"/>
          <w:sz w:val="22"/>
        </w:rPr>
        <w:t xml:space="preserve"> and </w:t>
      </w:r>
      <w:r>
        <w:rPr>
          <w:rFonts w:ascii="Consolas" w:hAnsi="Consolas"/>
          <w:rFonts w:ascii="Consolas" w:hAnsi="Consolas"/>
          <w:sz w:val="20"/>
        </w:rPr>
        <w:t>FORCE ROW LEVEL SECURITY</w:t>
      </w:r>
      <w:r>
        <w:rPr>
          <w:rFonts w:ascii="Arial" w:hAnsi="Arial"/>
          <w:sz w:val="22"/>
        </w:rPr>
        <w:t xml:space="preserve"> are two independent switches, and this migration needs both. </w:t>
      </w:r>
      <w:r>
        <w:rPr>
          <w:rFonts w:ascii="Consolas" w:hAnsi="Consolas"/>
          <w:rFonts w:ascii="Consolas" w:hAnsi="Consolas"/>
          <w:sz w:val="20"/>
        </w:rPr>
        <w:t>ENABLE</w:t>
      </w:r>
      <w:r>
        <w:rPr>
          <w:rFonts w:ascii="Arial" w:hAnsi="Arial"/>
          <w:sz w:val="22"/>
        </w:rPr>
        <w:t xml:space="preserve"> turns row security on for the table at all — "if enabled and no policies exist for the table, then a default-deny policy is applied" — but by itself still exempts the table owner: "table owners normally bypass row security... though a table owner can choose to be subject to row security with </w:t>
      </w:r>
      <w:r>
        <w:rPr>
          <w:rFonts w:ascii="Consolas" w:hAnsi="Consolas"/>
          <w:rFonts w:ascii="Consolas" w:hAnsi="Consolas"/>
          <w:sz w:val="20"/>
        </w:rPr>
        <w:t>ALTER TABLE ... FORCE ROW LEVEL SECURITY</w:t>
      </w:r>
      <w:r>
        <w:rPr>
          <w:rFonts w:ascii="Arial" w:hAnsi="Arial"/>
          <w:sz w:val="22"/>
        </w:rPr>
        <w:t xml:space="preserve">." </w:t>
      </w:r>
      <w:r>
        <w:rPr>
          <w:rFonts w:ascii="Consolas" w:hAnsi="Consolas"/>
          <w:rFonts w:ascii="Consolas" w:hAnsi="Consolas"/>
          <w:sz w:val="20"/>
        </w:rPr>
        <w:t>FORCE</w:t>
      </w:r>
      <w:r>
        <w:rPr>
          <w:rFonts w:ascii="Arial" w:hAnsi="Arial"/>
          <w:sz w:val="22"/>
        </w:rPr>
        <w:t xml:space="preserve"> is the second switch that removes that exemption specifically: "if enabled, row-level security policies will be applied when the user is the table owner." Since </w:t>
      </w:r>
      <w:r>
        <w:rPr>
          <w:rFonts w:ascii="Consolas" w:hAnsi="Consolas"/>
          <w:rFonts w:ascii="Consolas" w:hAnsi="Consolas"/>
          <w:sz w:val="20"/>
        </w:rPr>
        <w:t>vlms_owner</w:t>
      </w:r>
      <w:r>
        <w:rPr>
          <w:rFonts w:ascii="Arial" w:hAnsi="Arial"/>
          <w:sz w:val="22"/>
        </w:rPr>
        <w:t xml:space="preserve"> (this table's owner, per </w:t>
      </w:r>
      <w:r>
        <w:rPr>
          <w:rFonts w:ascii="Consolas" w:hAnsi="Consolas"/>
          <w:rFonts w:ascii="Consolas" w:hAnsi="Consolas"/>
          <w:sz w:val="20"/>
        </w:rPr>
        <w:t>deploy/postgres/00-create-roles-and-database.sql</w:t>
      </w:r>
      <w:r>
        <w:rPr>
          <w:rFonts w:ascii="Arial" w:hAnsi="Arial"/>
          <w:sz w:val="22"/>
        </w:rPr>
        <w:t xml:space="preserve">) is exactly the principal pass 6 found </w:t>
      </w:r>
      <w:r>
        <w:rPr>
          <w:rFonts w:ascii="Consolas" w:hAnsi="Consolas"/>
          <w:rFonts w:ascii="Consolas" w:hAnsi="Consolas"/>
          <w:sz w:val="20"/>
        </w:rPr>
        <w:t>REVOKE</w:t>
      </w:r>
      <w:r>
        <w:rPr>
          <w:rFonts w:ascii="Arial" w:hAnsi="Arial"/>
          <w:sz w:val="22"/>
        </w:rPr>
        <w:t xml:space="preserve"> couldn't touch, </w:t>
      </w:r>
      <w:r>
        <w:rPr>
          <w:rFonts w:ascii="Consolas" w:hAnsi="Consolas"/>
          <w:rFonts w:ascii="Consolas" w:hAnsi="Consolas"/>
          <w:sz w:val="20"/>
        </w:rPr>
        <w:t>ENABLE</w:t>
      </w:r>
      <w:r>
        <w:rPr>
          <w:rFonts w:ascii="Arial" w:hAnsi="Arial"/>
          <w:sz w:val="22"/>
        </w:rPr>
        <w:t xml:space="preserve"> without </w:t>
      </w:r>
      <w:r>
        <w:rPr>
          <w:rFonts w:ascii="Consolas" w:hAnsi="Consolas"/>
          <w:rFonts w:ascii="Consolas" w:hAnsi="Consolas"/>
          <w:sz w:val="20"/>
        </w:rPr>
        <w:t>FORCE</w:t>
      </w:r>
      <w:r>
        <w:rPr>
          <w:rFonts w:ascii="Arial" w:hAnsi="Arial"/>
          <w:sz w:val="22"/>
        </w:rPr>
        <w:t xml:space="preserve"> would have solved nothing for the one role named as the residual risk.</w:t>
      </w:r>
    </w:p>
    <w:p>
      <w:pPr>
        <w:spacing w:after="40"/>
        <w:ind w:left="1700" w:hanging="260"/>
      </w:pPr>
      <w:r>
        <w:rPr>
          <w:rFonts w:ascii="Arial" w:hAnsi="Arial"/>
          <w:sz w:val="22"/>
        </w:rPr>
        <w:t xml:space="preserve">–  </w:t>
      </w:r>
      <w:r>
        <w:rPr>
          <w:rFonts w:ascii="Arial" w:hAnsi="Arial"/>
          <w:sz w:val="22"/>
        </w:rPr>
        <w:t xml:space="preserve">Default-deny is total, per command, once </w:t>
      </w:r>
      <w:r>
        <w:rPr>
          <w:rFonts w:ascii="Consolas" w:hAnsi="Consolas"/>
          <w:rFonts w:ascii="Consolas" w:hAnsi="Consolas"/>
          <w:sz w:val="20"/>
        </w:rPr>
        <w:t>ENABLE</w:t>
      </w:r>
      <w:r>
        <w:rPr>
          <w:rFonts w:ascii="Arial" w:hAnsi="Arial"/>
          <w:sz w:val="22"/>
        </w:rPr>
        <w:t xml:space="preserve"> is set: a table can have a permissive </w:t>
      </w:r>
      <w:r>
        <w:rPr>
          <w:rFonts w:ascii="Consolas" w:hAnsi="Consolas"/>
          <w:rFonts w:ascii="Consolas" w:hAnsi="Consolas"/>
          <w:sz w:val="20"/>
        </w:rPr>
        <w:t>SELECT</w:t>
      </w:r>
      <w:r>
        <w:rPr>
          <w:rFonts w:ascii="Arial" w:hAnsi="Arial"/>
          <w:sz w:val="22"/>
        </w:rPr>
        <w:t xml:space="preserve"> policy and a permissive </w:t>
      </w:r>
      <w:r>
        <w:rPr>
          <w:rFonts w:ascii="Consolas" w:hAnsi="Consolas"/>
          <w:rFonts w:ascii="Consolas" w:hAnsi="Consolas"/>
          <w:sz w:val="20"/>
        </w:rPr>
        <w:t>INSERT</w:t>
      </w:r>
      <w:r>
        <w:rPr>
          <w:rFonts w:ascii="Arial" w:hAnsi="Arial"/>
          <w:sz w:val="22"/>
        </w:rPr>
        <w:t xml:space="preserve"> policy while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having no policy of their own, are separately and fully denied — for every role, including the owner under </w:t>
      </w:r>
      <w:r>
        <w:rPr>
          <w:rFonts w:ascii="Consolas" w:hAnsi="Consolas"/>
          <w:rFonts w:ascii="Consolas" w:hAnsi="Consolas"/>
          <w:sz w:val="20"/>
        </w:rPr>
        <w:t>FORCE</w:t>
      </w:r>
      <w:r>
        <w:rPr>
          <w:rFonts w:ascii="Arial" w:hAnsi="Arial"/>
          <w:sz w:val="22"/>
        </w:rPr>
        <w:t>. This is what makes "define SELECT/INSERT, define nothing for UPDATE/DELETE" equivalent to an explicit DENY on those two commands, not an oversight.</w:t>
      </w:r>
    </w:p>
    <w:p>
      <w:pPr>
        <w:spacing w:after="40"/>
        <w:ind w:left="1700" w:hanging="260"/>
      </w:pPr>
      <w:r>
        <w:rPr>
          <w:rFonts w:ascii="Arial" w:hAnsi="Arial"/>
          <w:sz w:val="22"/>
        </w:rPr>
        <w:t xml:space="preserve">–  </w:t>
      </w:r>
      <w:r>
        <w:rPr>
          <w:rFonts w:ascii="Arial" w:hAnsi="Arial"/>
          <w:sz w:val="22"/>
        </w:rPr>
        <w:t xml:space="preserve">Only two categories bypass RLS even under </w:t>
      </w:r>
      <w:r>
        <w:rPr>
          <w:rFonts w:ascii="Consolas" w:hAnsi="Consolas"/>
          <w:rFonts w:ascii="Consolas" w:hAnsi="Consolas"/>
          <w:sz w:val="20"/>
        </w:rPr>
        <w:t>FORCE</w:t>
      </w:r>
      <w:r>
        <w:rPr>
          <w:rFonts w:ascii="Arial" w:hAnsi="Arial"/>
          <w:sz w:val="22"/>
        </w:rPr>
        <w:t xml:space="preserve">: "superusers and roles with the </w:t>
      </w:r>
      <w:r>
        <w:rPr>
          <w:rFonts w:ascii="Consolas" w:hAnsi="Consolas"/>
          <w:rFonts w:ascii="Consolas" w:hAnsi="Consolas"/>
          <w:sz w:val="20"/>
        </w:rPr>
        <w:t>BYPASSRLS</w:t>
      </w:r>
      <w:r>
        <w:rPr>
          <w:rFonts w:ascii="Arial" w:hAnsi="Arial"/>
          <w:sz w:val="22"/>
        </w:rPr>
        <w:t xml:space="preserve"> attribute always bypass the row security system when accessing a table." </w:t>
      </w:r>
      <w:r>
        <w:rPr>
          <w:rFonts w:ascii="Consolas" w:hAnsi="Consolas"/>
          <w:rFonts w:ascii="Consolas" w:hAnsi="Consolas"/>
          <w:sz w:val="20"/>
        </w:rPr>
        <w:t>BYPASSRLS</w:t>
      </w:r>
      <w:r>
        <w:rPr>
          <w:rFonts w:ascii="Arial" w:hAnsi="Arial"/>
          <w:sz w:val="22"/>
        </w:rPr>
        <w:t xml:space="preserve"> defaults off (</w:t>
      </w:r>
      <w:r>
        <w:rPr>
          <w:rFonts w:ascii="Consolas" w:hAnsi="Consolas"/>
          <w:rFonts w:ascii="Consolas" w:hAnsi="Consolas"/>
          <w:sz w:val="20"/>
        </w:rPr>
        <w:t>NOBYPASSRLS</w:t>
      </w:r>
      <w:r>
        <w:rPr>
          <w:rFonts w:ascii="Arial" w:hAnsi="Arial"/>
          <w:sz w:val="22"/>
        </w:rPr>
        <w:t xml:space="preserve"> is the default; "only superuser roles or roles with BYPASSRLS can specify BYPASSRLS"), and neither </w:t>
      </w:r>
      <w:r>
        <w:rPr>
          <w:rFonts w:ascii="Consolas" w:hAnsi="Consolas"/>
          <w:rFonts w:ascii="Consolas" w:hAnsi="Consolas"/>
          <w:sz w:val="20"/>
        </w:rPr>
        <w:t>vlms_owner</w:t>
      </w:r>
      <w:r>
        <w:rPr>
          <w:rFonts w:ascii="Arial" w:hAnsi="Arial"/>
          <w:sz w:val="22"/>
        </w:rPr>
        <w:t xml:space="preserve"> nor </w:t>
      </w:r>
      <w:r>
        <w:rPr>
          <w:rFonts w:ascii="Consolas" w:hAnsi="Consolas"/>
          <w:rFonts w:ascii="Consolas" w:hAnsi="Consolas"/>
          <w:sz w:val="20"/>
        </w:rPr>
        <w:t>vlms_app</w:t>
      </w:r>
      <w:r>
        <w:rPr>
          <w:rFonts w:ascii="Arial" w:hAnsi="Arial"/>
          <w:sz w:val="22"/>
        </w:rPr>
        <w:t xml:space="preserve"> is created with </w:t>
      </w:r>
      <w:r>
        <w:rPr>
          <w:rFonts w:ascii="Consolas" w:hAnsi="Consolas"/>
          <w:rFonts w:ascii="Consolas" w:hAnsi="Consolas"/>
          <w:sz w:val="20"/>
        </w:rPr>
        <w:t>SUPERUSER</w:t>
      </w:r>
      <w:r>
        <w:rPr>
          <w:rFonts w:ascii="Arial" w:hAnsi="Arial"/>
          <w:sz w:val="22"/>
        </w:rPr>
        <w:t xml:space="preserve"> or </w:t>
      </w:r>
      <w:r>
        <w:rPr>
          <w:rFonts w:ascii="Consolas" w:hAnsi="Consolas"/>
          <w:rFonts w:ascii="Consolas" w:hAnsi="Consolas"/>
          <w:sz w:val="20"/>
        </w:rPr>
        <w:t>BYPASSRLS</w:t>
      </w:r>
      <w:r>
        <w:rPr>
          <w:rFonts w:ascii="Arial" w:hAnsi="Arial"/>
          <w:sz w:val="22"/>
        </w:rPr>
        <w:t xml:space="preserve"> in </w:t>
      </w:r>
      <w:r>
        <w:rPr>
          <w:rFonts w:ascii="Consolas" w:hAnsi="Consolas"/>
          <w:rFonts w:ascii="Consolas" w:hAnsi="Consolas"/>
          <w:sz w:val="20"/>
        </w:rPr>
        <w:t>00-create-roles-and-database.sql</w:t>
      </w:r>
      <w:r>
        <w:rPr>
          <w:rFonts w:ascii="Arial" w:hAnsi="Arial"/>
          <w:sz w:val="22"/>
        </w:rPr>
        <w:t xml:space="preserve"> (both are explicitly </w:t>
      </w:r>
      <w:r>
        <w:rPr>
          <w:rFonts w:ascii="Consolas" w:hAnsi="Consolas"/>
          <w:rFonts w:ascii="Consolas" w:hAnsi="Consolas"/>
          <w:sz w:val="20"/>
        </w:rPr>
        <w:t>NOSUPERUSER</w:t>
      </w:r>
      <w:r>
        <w:rPr>
          <w:rFonts w:ascii="Arial" w:hAnsi="Arial"/>
          <w:sz w:val="22"/>
        </w:rPr>
        <w:t xml:space="preserve">, and </w:t>
      </w:r>
      <w:r>
        <w:rPr>
          <w:rFonts w:ascii="Consolas" w:hAnsi="Consolas"/>
          <w:rFonts w:ascii="Consolas" w:hAnsi="Consolas"/>
          <w:sz w:val="20"/>
        </w:rPr>
        <w:t>BYPASSRLS</w:t>
      </w:r>
      <w:r>
        <w:rPr>
          <w:rFonts w:ascii="Arial" w:hAnsi="Arial"/>
          <w:sz w:val="22"/>
        </w:rPr>
        <w:t xml:space="preserve"> is never granted, so it was never silently acquired either). So for the two roles this deployment actually creates, this is a true DENY-equivalent for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xml:space="preserve"> — the only bypass is a genuine PostgreSQL superuser session, the same class of residual SQL Server's DENY always carried via </w:t>
      </w:r>
      <w:r>
        <w:rPr>
          <w:rFonts w:ascii="Consolas" w:hAnsi="Consolas"/>
          <w:rFonts w:ascii="Consolas" w:hAnsi="Consolas"/>
          <w:sz w:val="20"/>
        </w:rPr>
        <w:t>sysadmin</w:t>
      </w:r>
      <w:r>
        <w:rPr>
          <w:rFonts w:ascii="Arial" w:hAnsi="Arial"/>
          <w:sz w:val="22"/>
        </w:rPr>
        <w:t>.</w:t>
      </w:r>
    </w:p>
    <w:p>
      <w:pPr>
        <w:spacing w:after="80"/>
      </w:pPr>
      <w:r>
        <w:rPr>
          <w:rFonts w:ascii="Arial" w:hAnsi="Arial"/>
          <w:b/>
          <w:sz w:val="22"/>
        </w:rPr>
        <w:t>(b) `USING` vs `WITH CHECK`, and why `INSERT`'s policy is `WITH CHECK (true)` and not `USING (true)`.</w:t>
      </w:r>
      <w:r>
        <w:rPr>
          <w:rFonts w:ascii="Arial" w:hAnsi="Arial"/>
          <w:sz w:val="22"/>
        </w:rPr>
        <w:t xml:space="preserve"> A policy's </w:t>
      </w:r>
      <w:r>
        <w:rPr>
          <w:rFonts w:ascii="Consolas" w:hAnsi="Consolas"/>
          <w:rFonts w:ascii="Consolas" w:hAnsi="Consolas"/>
          <w:sz w:val="20"/>
        </w:rPr>
        <w:t>USING</w:t>
      </w:r>
      <w:r>
        <w:rPr>
          <w:rFonts w:ascii="Arial" w:hAnsi="Arial"/>
          <w:sz w:val="22"/>
        </w:rPr>
        <w:t xml:space="preserve"> expression filters which existing rows a command may see or target; </w:t>
      </w:r>
      <w:r>
        <w:rPr>
          <w:rFonts w:ascii="Consolas" w:hAnsi="Consolas"/>
          <w:rFonts w:ascii="Consolas" w:hAnsi="Consolas"/>
          <w:sz w:val="20"/>
        </w:rPr>
        <w:t>WITH CHECK</w:t>
      </w:r>
      <w:r>
        <w:rPr>
          <w:rFonts w:ascii="Arial" w:hAnsi="Arial"/>
          <w:sz w:val="22"/>
        </w:rPr>
        <w:t xml:space="preserve"> validates rows being written (a new row from </w:t>
      </w:r>
      <w:r>
        <w:rPr>
          <w:rFonts w:ascii="Consolas" w:hAnsi="Consolas"/>
          <w:rFonts w:ascii="Consolas" w:hAnsi="Consolas"/>
          <w:sz w:val="20"/>
        </w:rPr>
        <w:t>INSERT</w:t>
      </w:r>
      <w:r>
        <w:rPr>
          <w:rFonts w:ascii="Arial" w:hAnsi="Arial"/>
          <w:sz w:val="22"/>
        </w:rPr>
        <w:t xml:space="preserve">, or the post-image of an </w:t>
      </w:r>
      <w:r>
        <w:rPr>
          <w:rFonts w:ascii="Consolas" w:hAnsi="Consolas"/>
          <w:rFonts w:ascii="Consolas" w:hAnsi="Consolas"/>
          <w:sz w:val="20"/>
        </w:rPr>
        <w:t>UPDATE</w:t>
      </w:r>
      <w:r>
        <w:rPr>
          <w:rFonts w:ascii="Arial" w:hAnsi="Arial"/>
          <w:sz w:val="22"/>
        </w:rPr>
        <w:t xml:space="preserve">). </w:t>
      </w:r>
      <w:r>
        <w:rPr>
          <w:rFonts w:ascii="Consolas" w:hAnsi="Consolas"/>
          <w:rFonts w:ascii="Consolas" w:hAnsi="Consolas"/>
          <w:sz w:val="20"/>
        </w:rPr>
        <w:t>INSERT</w:t>
      </w:r>
      <w:r>
        <w:rPr>
          <w:rFonts w:ascii="Arial" w:hAnsi="Arial"/>
          <w:sz w:val="22"/>
        </w:rPr>
        <w:t xml:space="preserve"> has no existing row to filter — the row doesn't exist until the statement creates it — so only </w:t>
      </w:r>
      <w:r>
        <w:rPr>
          <w:rFonts w:ascii="Consolas" w:hAnsi="Consolas"/>
          <w:rFonts w:ascii="Consolas" w:hAnsi="Consolas"/>
          <w:sz w:val="20"/>
        </w:rPr>
        <w:t>WITH CHECK</w:t>
      </w:r>
      <w:r>
        <w:rPr>
          <w:rFonts w:ascii="Arial" w:hAnsi="Arial"/>
          <w:sz w:val="22"/>
        </w:rPr>
        <w:t xml:space="preserve"> applies to it; a </w:t>
      </w:r>
      <w:r>
        <w:rPr>
          <w:rFonts w:ascii="Consolas" w:hAnsi="Consolas"/>
          <w:rFonts w:ascii="Consolas" w:hAnsi="Consolas"/>
          <w:sz w:val="20"/>
        </w:rPr>
        <w:t>FOR INSERT</w:t>
      </w:r>
      <w:r>
        <w:rPr>
          <w:rFonts w:ascii="Arial" w:hAnsi="Arial"/>
          <w:sz w:val="22"/>
        </w:rPr>
        <w:t xml:space="preserve"> policy written with </w:t>
      </w:r>
      <w:r>
        <w:rPr>
          <w:rFonts w:ascii="Consolas" w:hAnsi="Consolas"/>
          <w:rFonts w:ascii="Consolas" w:hAnsi="Consolas"/>
          <w:sz w:val="20"/>
        </w:rPr>
        <w:t>USING</w:t>
      </w:r>
      <w:r>
        <w:rPr>
          <w:rFonts w:ascii="Arial" w:hAnsi="Arial"/>
          <w:sz w:val="22"/>
        </w:rPr>
        <w:t xml:space="preserve"> instead would be using the wrong clause for the command. This distinction is exactly the risk the task that produced this pass flagged explicitly, and is why the two policies above use different clauses: </w:t>
      </w:r>
      <w:r>
        <w:rPr>
          <w:rFonts w:ascii="Consolas" w:hAnsi="Consolas"/>
          <w:rFonts w:ascii="Consolas" w:hAnsi="Consolas"/>
          <w:sz w:val="20"/>
        </w:rPr>
        <w:t>FOR SELECT USING (true)</w:t>
      </w:r>
      <w:r>
        <w:rPr>
          <w:rFonts w:ascii="Arial" w:hAnsi="Arial"/>
          <w:sz w:val="22"/>
        </w:rPr>
        <w:t xml:space="preserve"> (no rows written to validate) and </w:t>
      </w:r>
      <w:r>
        <w:rPr>
          <w:rFonts w:ascii="Consolas" w:hAnsi="Consolas"/>
          <w:rFonts w:ascii="Consolas" w:hAnsi="Consolas"/>
          <w:sz w:val="20"/>
        </w:rPr>
        <w:t>FOR INSERT WITH CHECK (true)</w:t>
      </w:r>
      <w:r>
        <w:rPr>
          <w:rFonts w:ascii="Arial" w:hAnsi="Arial"/>
          <w:sz w:val="22"/>
        </w:rPr>
        <w:t xml:space="preserve"> (no existing rows to filter).</w:t>
      </w:r>
    </w:p>
    <w:p>
      <w:pPr>
        <w:spacing w:after="80"/>
      </w:pPr>
      <w:r>
        <w:rPr>
          <w:rFonts w:ascii="Arial" w:hAnsi="Arial"/>
          <w:b/>
          <w:sz w:val="22"/>
        </w:rPr>
        <w:t>(c) Why the permissive `SELECT`/`INSERT` policies are safe for `SensitiveDataAuditInterceptor`'s own write — the single most safety-critical write in this codebase.</w:t>
      </w:r>
      <w:r>
        <w:rPr>
          <w:rFonts w:ascii="Arial" w:hAnsi="Arial"/>
          <w:sz w:val="22"/>
        </w:rPr>
        <w:t xml:space="preserve"> </w:t>
      </w:r>
      <w:r>
        <w:rPr>
          <w:rFonts w:ascii="Consolas" w:hAnsi="Consolas"/>
          <w:rFonts w:ascii="Consolas" w:hAnsi="Consolas"/>
          <w:sz w:val="20"/>
        </w:rPr>
        <w:t>SensitiveDataAuditInterceptor</w:t>
      </w:r>
      <w:r>
        <w:rPr>
          <w:rFonts w:ascii="Arial" w:hAnsi="Arial"/>
          <w:sz w:val="22"/>
        </w:rPr>
        <w:t xml:space="preserve"> (</w:t>
      </w:r>
      <w:r>
        <w:rPr>
          <w:rFonts w:ascii="Consolas" w:hAnsi="Consolas"/>
          <w:rFonts w:ascii="Consolas" w:hAnsi="Consolas"/>
          <w:sz w:val="20"/>
        </w:rPr>
        <w:t>src/Vlms.Infrastructure/Auditing/</w:t>
      </w:r>
      <w:r>
        <w:rPr>
          <w:rFonts w:ascii="Arial" w:hAnsi="Arial"/>
          <w:sz w:val="22"/>
        </w:rPr>
        <w:t xml:space="preserve">) writes one </w:t>
      </w:r>
      <w:r>
        <w:rPr>
          <w:rFonts w:ascii="Consolas" w:hAnsi="Consolas"/>
          <w:rFonts w:ascii="Consolas" w:hAnsi="Consolas"/>
          <w:sz w:val="20"/>
        </w:rPr>
        <w:t>SensitiveDataAccessLog</w:t>
      </w:r>
      <w:r>
        <w:rPr>
          <w:rFonts w:ascii="Arial" w:hAnsi="Arial"/>
          <w:sz w:val="22"/>
        </w:rPr>
        <w:t xml:space="preserve"> row per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instance materialized, via a plain </w:t>
      </w:r>
      <w:r>
        <w:rPr>
          <w:rFonts w:ascii="Consolas" w:hAnsi="Consolas"/>
          <w:rFonts w:ascii="Consolas" w:hAnsi="Consolas"/>
          <w:sz w:val="20"/>
        </w:rPr>
        <w:t>DbSet.Add</w:t>
      </w:r>
      <w:r>
        <w:rPr>
          <w:rFonts w:ascii="Arial" w:hAnsi="Arial"/>
          <w:sz w:val="22"/>
        </w:rPr>
        <w:t xml:space="preserve"> + </w:t>
      </w:r>
      <w:r>
        <w:rPr>
          <w:rFonts w:ascii="Consolas" w:hAnsi="Consolas"/>
          <w:rFonts w:ascii="Consolas" w:hAnsi="Consolas"/>
          <w:sz w:val="20"/>
        </w:rPr>
        <w:t>SaveChanges</w:t>
      </w:r>
      <w:r>
        <w:rPr>
          <w:rFonts w:ascii="Arial" w:hAnsi="Arial"/>
          <w:sz w:val="22"/>
        </w:rPr>
        <w:t xml:space="preserve"> — an ordinary </w:t>
      </w:r>
      <w:r>
        <w:rPr>
          <w:rFonts w:ascii="Consolas" w:hAnsi="Consolas"/>
          <w:rFonts w:ascii="Consolas" w:hAnsi="Consolas"/>
          <w:sz w:val="20"/>
        </w:rPr>
        <w:t>INSERT</w:t>
      </w:r>
      <w:r>
        <w:rPr>
          <w:rFonts w:ascii="Arial" w:hAnsi="Arial"/>
          <w:sz w:val="22"/>
        </w:rPr>
        <w:t xml:space="preserve"> with no row-specific predicate of its own to satisfy. </w:t>
      </w:r>
      <w:r>
        <w:rPr>
          <w:rFonts w:ascii="Consolas" w:hAnsi="Consolas"/>
          <w:rFonts w:ascii="Consolas" w:hAnsi="Consolas"/>
          <w:sz w:val="20"/>
        </w:rPr>
        <w:t>FOR INSERT WITH CHECK (true)</w:t>
      </w:r>
      <w:r>
        <w:rPr>
          <w:rFonts w:ascii="Arial" w:hAnsi="Arial"/>
          <w:sz w:val="22"/>
        </w:rPr>
        <w:t xml:space="preserve"> admits every such </w:t>
      </w:r>
      <w:r>
        <w:rPr>
          <w:rFonts w:ascii="Consolas" w:hAnsi="Consolas"/>
          <w:rFonts w:ascii="Consolas" w:hAnsi="Consolas"/>
          <w:sz w:val="20"/>
        </w:rPr>
        <w:t>INSERT</w:t>
      </w:r>
      <w:r>
        <w:rPr>
          <w:rFonts w:ascii="Arial" w:hAnsi="Arial"/>
          <w:sz w:val="22"/>
        </w:rPr>
        <w:t xml:space="preserve"> unconditionally, for </w:t>
      </w:r>
      <w:r>
        <w:rPr>
          <w:rFonts w:ascii="Consolas" w:hAnsi="Consolas"/>
          <w:rFonts w:ascii="Consolas" w:hAnsi="Consolas"/>
          <w:sz w:val="20"/>
        </w:rPr>
        <w:t>vlms_app</w:t>
      </w:r>
      <w:r>
        <w:rPr>
          <w:rFonts w:ascii="Arial" w:hAnsi="Arial"/>
          <w:sz w:val="22"/>
        </w:rPr>
        <w:t xml:space="preserve"> (the interceptor's own runtime identity) and for </w:t>
      </w:r>
      <w:r>
        <w:rPr>
          <w:rFonts w:ascii="Consolas" w:hAnsi="Consolas"/>
          <w:rFonts w:ascii="Consolas" w:hAnsi="Consolas"/>
          <w:sz w:val="20"/>
        </w:rPr>
        <w:t>vlms_owner</w:t>
      </w:r>
      <w:r>
        <w:rPr>
          <w:rFonts w:ascii="Arial" w:hAnsi="Arial"/>
          <w:sz w:val="22"/>
        </w:rPr>
        <w:t xml:space="preserve"> under </w:t>
      </w:r>
      <w:r>
        <w:rPr>
          <w:rFonts w:ascii="Consolas" w:hAnsi="Consolas"/>
          <w:rFonts w:ascii="Consolas" w:hAnsi="Consolas"/>
          <w:sz w:val="20"/>
        </w:rPr>
        <w:t>FORCE</w:t>
      </w:r>
      <w:r>
        <w:rPr>
          <w:rFonts w:ascii="Arial" w:hAnsi="Arial"/>
          <w:sz w:val="22"/>
        </w:rPr>
        <w:t xml:space="preserve"> alike, so it cannot silently block that write the way an under-scoped </w:t>
      </w:r>
      <w:r>
        <w:rPr>
          <w:rFonts w:ascii="Consolas" w:hAnsi="Consolas"/>
          <w:rFonts w:ascii="Consolas" w:hAnsi="Consolas"/>
          <w:sz w:val="20"/>
        </w:rPr>
        <w:t>WITH CHECK</w:t>
      </w:r>
      <w:r>
        <w:rPr>
          <w:rFonts w:ascii="Arial" w:hAnsi="Arial"/>
          <w:sz w:val="22"/>
        </w:rPr>
        <w:t xml:space="preserve"> expression could have. </w:t>
      </w:r>
      <w:r>
        <w:rPr>
          <w:rFonts w:ascii="Consolas" w:hAnsi="Consolas"/>
          <w:rFonts w:ascii="Consolas" w:hAnsi="Consolas"/>
          <w:sz w:val="20"/>
        </w:rPr>
        <w:t>FOR SELECT USING (true)</w:t>
      </w:r>
      <w:r>
        <w:rPr>
          <w:rFonts w:ascii="Arial" w:hAnsi="Arial"/>
          <w:sz w:val="22"/>
        </w:rPr>
        <w:t xml:space="preserve"> keeps every ordinary read of this table working unchanged — this table was never row-restricted for reads (only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have read-scoping query filters, for a different reason), and this migration does not start restricting it now; RLS here is exclusively a tamper-protection control on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w:t>
      </w:r>
    </w:p>
    <w:p>
      <w:pPr>
        <w:spacing w:after="80"/>
      </w:pPr>
      <w:r>
        <w:rPr>
          <w:rFonts w:ascii="Arial" w:hAnsi="Arial"/>
          <w:b/>
          <w:sz w:val="22"/>
        </w:rPr>
        <w:t>(d) Kept, not replaced — genuine defense in depth, not redundancy.</w:t>
      </w:r>
      <w:r>
        <w:rPr>
          <w:rFonts w:ascii="Arial" w:hAnsi="Arial"/>
          <w:sz w:val="22"/>
        </w:rPr>
        <w:t xml:space="preserve"> The pass-6 </w:t>
      </w:r>
      <w:r>
        <w:rPr>
          <w:rFonts w:ascii="Consolas" w:hAnsi="Consolas"/>
          <w:rFonts w:ascii="Consolas" w:hAnsi="Consolas"/>
          <w:sz w:val="20"/>
        </w:rPr>
        <w:t>REVOKE UPDATE, DELETE ON sensitive_data_access_logs FROM PUBLIC</w:t>
      </w:r>
      <w:r>
        <w:rPr>
          <w:rFonts w:ascii="Arial" w:hAnsi="Arial"/>
          <w:sz w:val="22"/>
        </w:rPr>
        <w:t xml:space="preserve"> is untouched (a separate, later-applied migration, per this project's "never rewrite a committed migration" convention). </w:t>
      </w:r>
      <w:r>
        <w:rPr>
          <w:rFonts w:ascii="Consolas" w:hAnsi="Consolas"/>
          <w:rFonts w:ascii="Consolas" w:hAnsi="Consolas"/>
          <w:sz w:val="20"/>
        </w:rPr>
        <w:t>REVOKE</w:t>
      </w:r>
      <w:r>
        <w:rPr>
          <w:rFonts w:ascii="Arial" w:hAnsi="Arial"/>
          <w:sz w:val="22"/>
        </w:rPr>
        <w:t xml:space="preserve"> and RLS operate at different layers — </w:t>
      </w:r>
      <w:r>
        <w:rPr>
          <w:rFonts w:ascii="Consolas" w:hAnsi="Consolas"/>
          <w:rFonts w:ascii="Consolas" w:hAnsi="Consolas"/>
          <w:sz w:val="20"/>
        </w:rPr>
        <w:t>REVOKE</w:t>
      </w:r>
      <w:r>
        <w:rPr>
          <w:rFonts w:ascii="Arial" w:hAnsi="Arial"/>
          <w:sz w:val="22"/>
        </w:rPr>
        <w:t xml:space="preserve"> governs whether a role's statement is privileged to run against the table at all; </w:t>
      </w:r>
      <w:r>
        <w:rPr>
          <w:rFonts w:ascii="Consolas" w:hAnsi="Consolas"/>
          <w:rFonts w:ascii="Consolas" w:hAnsi="Consolas"/>
          <w:sz w:val="20"/>
        </w:rPr>
        <w:t>FORCE ROW LEVEL SECURITY</w:t>
      </w:r>
      <w:r>
        <w:rPr>
          <w:rFonts w:ascii="Arial" w:hAnsi="Arial"/>
          <w:sz w:val="22"/>
        </w:rPr>
        <w:t xml:space="preserve"> with no permissive policy governs, independently, which rows a permitted statement may touch — and PostgreSQL's own worked examples combine both rather than treating either as sufficient alone. Concretely: a future accidental </w:t>
      </w:r>
      <w:r>
        <w:rPr>
          <w:rFonts w:ascii="Consolas" w:hAnsi="Consolas"/>
          <w:rFonts w:ascii="Consolas" w:hAnsi="Consolas"/>
          <w:sz w:val="20"/>
        </w:rPr>
        <w:t>GRANT UPDATE ... TO PUBLIC</w:t>
      </w:r>
      <w:r>
        <w:rPr>
          <w:rFonts w:ascii="Arial" w:hAnsi="Arial"/>
          <w:sz w:val="22"/>
        </w:rPr>
        <w:t xml:space="preserve"> would silently undo the </w:t>
      </w:r>
      <w:r>
        <w:rPr>
          <w:rFonts w:ascii="Consolas" w:hAnsi="Consolas"/>
          <w:rFonts w:ascii="Consolas" w:hAnsi="Consolas"/>
          <w:sz w:val="20"/>
        </w:rPr>
        <w:t>REVOKE</w:t>
      </w:r>
      <w:r>
        <w:rPr>
          <w:rFonts w:ascii="Arial" w:hAnsi="Arial"/>
          <w:sz w:val="22"/>
        </w:rPr>
        <w:t xml:space="preserve">'s protection exactly as pass 6 disclosed, but RLS's default-deny would still block the resulting </w:t>
      </w:r>
      <w:r>
        <w:rPr>
          <w:rFonts w:ascii="Consolas" w:hAnsi="Consolas"/>
          <w:rFonts w:ascii="Consolas" w:hAnsi="Consolas"/>
          <w:sz w:val="20"/>
        </w:rPr>
        <w:t>UPDATE</w:t>
      </w:r>
      <w:r>
        <w:rPr>
          <w:rFonts w:ascii="Arial" w:hAnsi="Arial"/>
          <w:sz w:val="22"/>
        </w:rPr>
        <w:t>/</w:t>
      </w:r>
      <w:r>
        <w:rPr>
          <w:rFonts w:ascii="Consolas" w:hAnsi="Consolas"/>
          <w:rFonts w:ascii="Consolas" w:hAnsi="Consolas"/>
          <w:sz w:val="20"/>
        </w:rPr>
        <w:t>DELETE</w:t>
      </w:r>
      <w:r>
        <w:rPr>
          <w:rFonts w:ascii="Arial" w:hAnsi="Arial"/>
          <w:sz w:val="22"/>
        </w:rPr>
        <w:t>, because RLS is evaluated independently of whether the statement is otherwise privileged.</w:t>
      </w:r>
    </w:p>
    <w:p>
      <w:pPr>
        <w:spacing w:after="80"/>
      </w:pPr>
      <w:r>
        <w:rPr>
          <w:rFonts w:ascii="Arial" w:hAnsi="Arial"/>
          <w:b/>
          <w:sz w:val="22"/>
        </w:rPr>
        <w:t>(e) Honest statement of what still can bypass this — so this is not oversold as absolute the way the original SQL Server DENY was, implicitly, until pass 6 corrected that.</w:t>
      </w:r>
      <w:r>
        <w:rPr>
          <w:rFonts w:ascii="Arial" w:hAnsi="Arial"/>
          <w:sz w:val="22"/>
        </w:rPr>
        <w:t xml:space="preserve"> A genuine PostgreSQL superuser session bypasses RLS entirely; that is disclosed here, not solved, the same residual class SQL Server's DENY always carried via </w:t>
      </w:r>
      <w:r>
        <w:rPr>
          <w:rFonts w:ascii="Consolas" w:hAnsi="Consolas"/>
          <w:rFonts w:ascii="Consolas" w:hAnsi="Consolas"/>
          <w:sz w:val="20"/>
        </w:rPr>
        <w:t>sysadmin</w:t>
      </w:r>
      <w:r>
        <w:rPr>
          <w:rFonts w:ascii="Arial" w:hAnsi="Arial"/>
          <w:sz w:val="22"/>
        </w:rPr>
        <w:t>/</w:t>
      </w:r>
      <w:r>
        <w:rPr>
          <w:rFonts w:ascii="Consolas" w:hAnsi="Consolas"/>
          <w:rFonts w:ascii="Consolas" w:hAnsi="Consolas"/>
          <w:sz w:val="20"/>
        </w:rPr>
        <w:t>dbo</w:t>
      </w:r>
      <w:r>
        <w:rPr>
          <w:rFonts w:ascii="Arial" w:hAnsi="Arial"/>
          <w:sz w:val="22"/>
        </w:rPr>
        <w:t xml:space="preserve">. This is a real limit, not zero-risk: if the production deployment were ever misconfigured to connect as a superuser (contrary to </w:t>
      </w:r>
      <w:r>
        <w:rPr>
          <w:rFonts w:ascii="Consolas" w:hAnsi="Consolas"/>
          <w:rFonts w:ascii="Consolas" w:hAnsi="Consolas"/>
          <w:sz w:val="20"/>
        </w:rPr>
        <w:t>00-create-roles-and-database.sql</w:t>
      </w:r>
      <w:r>
        <w:rPr>
          <w:rFonts w:ascii="Arial" w:hAnsi="Arial"/>
          <w:sz w:val="22"/>
        </w:rPr>
        <w:t xml:space="preserve">'s explicit </w:t>
      </w:r>
      <w:r>
        <w:rPr>
          <w:rFonts w:ascii="Consolas" w:hAnsi="Consolas"/>
          <w:rFonts w:ascii="Consolas" w:hAnsi="Consolas"/>
          <w:sz w:val="20"/>
        </w:rPr>
        <w:t>NOSUPERUSER</w:t>
      </w:r>
      <w:r>
        <w:rPr>
          <w:rFonts w:ascii="Arial" w:hAnsi="Arial"/>
          <w:sz w:val="22"/>
        </w:rPr>
        <w:t xml:space="preserve"> roles), this protection would not apply — the least-privilege connection discipline in </w:t>
      </w:r>
      <w:r>
        <w:rPr>
          <w:rFonts w:ascii="Consolas" w:hAnsi="Consolas"/>
          <w:rFonts w:ascii="Consolas" w:hAnsi="Consolas"/>
          <w:sz w:val="20"/>
        </w:rPr>
        <w:t>docs/governance/raid.md</w:t>
      </w:r>
      <w:r>
        <w:rPr>
          <w:rFonts w:ascii="Arial" w:hAnsi="Arial"/>
          <w:sz w:val="22"/>
        </w:rPr>
        <w:t xml:space="preserve"> D-004 remains load-bearing, now for a narrower reason (avoiding superuser/BYPASSRLS, rather than avoiding table ownership or a direct GRANT, both of which RLS now also covers regardless).</w:t>
      </w:r>
    </w:p>
    <w:p>
      <w:pPr>
        <w:spacing w:after="80"/>
      </w:pPr>
      <w:r>
        <w:rPr>
          <w:rFonts w:ascii="Arial" w:hAnsi="Arial"/>
          <w:b/>
          <w:sz w:val="22"/>
        </w:rPr>
        <w:t>(f) What was verified versus what was not — stated with the same honesty this ADR has applied to every prior pass.</w:t>
      </w:r>
      <w:r>
        <w:rPr>
          <w:rFonts w:ascii="Arial" w:hAnsi="Arial"/>
          <w:sz w:val="22"/>
        </w:rPr>
        <w:t xml:space="preserve"> Verified: PostgreSQL's documented RLS semantics (cited above), and that </w:t>
      </w:r>
      <w:r>
        <w:rPr>
          <w:rFonts w:ascii="Consolas" w:hAnsi="Consolas"/>
          <w:rFonts w:ascii="Consolas" w:hAnsi="Consolas"/>
          <w:sz w:val="20"/>
        </w:rPr>
        <w:t>EnforceRowLevelSecurityOnSensitiveDataAccessLog</w:t>
      </w:r>
      <w:r>
        <w:rPr>
          <w:rFonts w:ascii="Arial" w:hAnsi="Arial"/>
          <w:sz w:val="22"/>
        </w:rPr>
        <w:t xml:space="preserve">'s </w:t>
      </w:r>
      <w:r>
        <w:rPr>
          <w:rFonts w:ascii="Consolas" w:hAnsi="Consolas"/>
          <w:rFonts w:ascii="Consolas" w:hAnsi="Consolas"/>
          <w:sz w:val="20"/>
        </w:rPr>
        <w:t>IMigrator.GenerateScript()</w:t>
      </w:r>
      <w:r>
        <w:rPr>
          <w:rFonts w:ascii="Arial" w:hAnsi="Arial"/>
          <w:sz w:val="22"/>
        </w:rPr>
        <w:t xml:space="preserve"> output contains the exact statements, in the right order, with the right clauses (</w:t>
      </w:r>
      <w:r>
        <w:rPr>
          <w:rFonts w:ascii="Consolas" w:hAnsi="Consolas"/>
          <w:rFonts w:ascii="Consolas" w:hAnsi="Consolas"/>
          <w:sz w:val="20"/>
        </w:rPr>
        <w:t>tests/Vlms.Tests/Infrastructure/MigrationsTests.cs</w:t>
      </w:r>
      <w:r>
        <w:rPr>
          <w:rFonts w:ascii="Arial" w:hAnsi="Arial"/>
          <w:sz w:val="22"/>
        </w:rPr>
        <w:t xml:space="preserve">) — proving the literal SQL text is correct, the same "structurally correct" proof pass 6's own </w:t>
      </w:r>
      <w:r>
        <w:rPr>
          <w:rFonts w:ascii="Consolas" w:hAnsi="Consolas"/>
          <w:rFonts w:ascii="Consolas" w:hAnsi="Consolas"/>
          <w:sz w:val="20"/>
        </w:rPr>
        <w:t>REVOKE</w:t>
      </w:r>
      <w:r>
        <w:rPr>
          <w:rFonts w:ascii="Arial" w:hAnsi="Arial"/>
          <w:sz w:val="22"/>
        </w:rPr>
        <w:t xml:space="preserve"> test gave. </w:t>
      </w:r>
      <w:r>
        <w:rPr>
          <w:rFonts w:ascii="Arial" w:hAnsi="Arial"/>
          <w:b/>
          <w:sz w:val="22"/>
        </w:rPr>
        <w:t>Not verified:</w:t>
      </w:r>
      <w:r>
        <w:rPr>
          <w:rFonts w:ascii="Arial" w:hAnsi="Arial"/>
          <w:sz w:val="22"/>
        </w:rPr>
        <w:t xml:space="preserve"> that a live PostgreSQL server actually executes these statements with the documented behaviour — no Testcontainers-backed or other live-PostgreSQL integration test exists in this repository. This was checked, not assumed: no Docker daemon is available in this project's build/dev environment (</w:t>
      </w:r>
      <w:r>
        <w:rPr>
          <w:rFonts w:ascii="Consolas" w:hAnsi="Consolas"/>
          <w:rFonts w:ascii="Consolas" w:hAnsi="Consolas"/>
          <w:sz w:val="20"/>
        </w:rPr>
        <w:t>docker --version</w:t>
      </w:r>
      <w:r>
        <w:rPr>
          <w:rFonts w:ascii="Arial" w:hAnsi="Arial"/>
          <w:sz w:val="22"/>
        </w:rPr>
        <w:t xml:space="preserve"> fails), and the prior decision to rely on documentation review rather than live-server integration tests (</w:t>
      </w:r>
      <w:r>
        <w:rPr>
          <w:rFonts w:ascii="Consolas" w:hAnsi="Consolas"/>
          <w:rFonts w:ascii="Consolas" w:hAnsi="Consolas"/>
          <w:sz w:val="20"/>
        </w:rPr>
        <w:t>openwiki/testing.md</w:t>
      </w:r>
      <w:r>
        <w:rPr>
          <w:rFonts w:ascii="Arial" w:hAnsi="Arial"/>
          <w:sz w:val="22"/>
        </w:rPr>
        <w:t xml:space="preserve">'s "Test-provider strategy" section, made when the pass-6 </w:t>
      </w:r>
      <w:r>
        <w:rPr>
          <w:rFonts w:ascii="Consolas" w:hAnsi="Consolas"/>
          <w:rFonts w:ascii="Consolas" w:hAnsi="Consolas"/>
          <w:sz w:val="20"/>
        </w:rPr>
        <w:t>REVOKE</w:t>
      </w:r>
      <w:r>
        <w:rPr>
          <w:rFonts w:ascii="Arial" w:hAnsi="Arial"/>
          <w:sz w:val="22"/>
        </w:rPr>
        <w:t xml:space="preserve"> was built) applies with equal force here — this migration is materially higher-stakes than that one, which is exactly why the verification above is more extensive (multiple independent PostgreSQL doc pages fetched and quoted directly, not paraphrased from memory) even though the test remains the same </w:t>
      </w:r>
      <w:r>
        <w:rPr>
          <w:rFonts w:ascii="Consolas" w:hAnsi="Consolas"/>
          <w:rFonts w:ascii="Consolas" w:hAnsi="Consolas"/>
          <w:sz w:val="20"/>
        </w:rPr>
        <w:t>GenerateScript()</w:t>
      </w:r>
      <w:r>
        <w:rPr>
          <w:rFonts w:ascii="Arial" w:hAnsi="Arial"/>
          <w:sz w:val="22"/>
        </w:rPr>
        <w:t xml:space="preserve">-text-assertion shape. A manual verification procedure for whoever first applies this migration against a real server: after running it, confirm </w:t>
      </w:r>
      <w:r>
        <w:rPr>
          <w:rFonts w:ascii="Consolas" w:hAnsi="Consolas"/>
          <w:rFonts w:ascii="Consolas" w:hAnsi="Consolas"/>
          <w:sz w:val="20"/>
        </w:rPr>
        <w:t>SELECT * FROM pg_policies WHERE tablename = 'sensitive_data_access_logs';</w:t>
      </w:r>
      <w:r>
        <w:rPr>
          <w:rFonts w:ascii="Arial" w:hAnsi="Arial"/>
          <w:sz w:val="22"/>
        </w:rPr>
        <w:t xml:space="preserve"> shows exactly the two policies above; then, connected as </w:t>
      </w:r>
      <w:r>
        <w:rPr>
          <w:rFonts w:ascii="Consolas" w:hAnsi="Consolas"/>
          <w:rFonts w:ascii="Consolas" w:hAnsi="Consolas"/>
          <w:sz w:val="20"/>
        </w:rPr>
        <w:t>vlms_app</w:t>
      </w:r>
      <w:r>
        <w:rPr>
          <w:rFonts w:ascii="Arial" w:hAnsi="Arial"/>
          <w:sz w:val="22"/>
        </w:rPr>
        <w:t xml:space="preserve">, confirm </w:t>
      </w:r>
      <w:r>
        <w:rPr>
          <w:rFonts w:ascii="Consolas" w:hAnsi="Consolas"/>
          <w:rFonts w:ascii="Consolas" w:hAnsi="Consolas"/>
          <w:sz w:val="20"/>
        </w:rPr>
        <w:t>UPDATE sensitive_data_access_logs SET access_type = 0 WHERE id = 1;</w:t>
      </w:r>
      <w:r>
        <w:rPr>
          <w:rFonts w:ascii="Arial" w:hAnsi="Arial"/>
          <w:sz w:val="22"/>
        </w:rPr>
        <w:t xml:space="preserve"> fails with a permission/row-security error (not silently affecting 0 rows — RLS denial and "no matching row" must not be confused; querying as a role RLS actually restricts should show 0 rows visible for the denied command, and the statement should error, matching </w:t>
      </w:r>
      <w:r>
        <w:rPr>
          <w:rFonts w:ascii="Consolas" w:hAnsi="Consolas"/>
          <w:rFonts w:ascii="Consolas" w:hAnsi="Consolas"/>
          <w:sz w:val="20"/>
        </w:rPr>
        <w:t>deploy/README.md</w:t>
      </w:r>
      <w:r>
        <w:rPr>
          <w:rFonts w:ascii="Arial" w:hAnsi="Arial"/>
          <w:sz w:val="22"/>
        </w:rPr>
        <w:t xml:space="preserve">'s existing "live </w:t>
      </w:r>
      <w:r>
        <w:rPr>
          <w:rFonts w:ascii="Consolas" w:hAnsi="Consolas"/>
          <w:rFonts w:ascii="Consolas" w:hAnsi="Consolas"/>
          <w:sz w:val="20"/>
        </w:rPr>
        <w:t>UPDATE</w:t>
      </w:r>
      <w:r>
        <w:rPr>
          <w:rFonts w:ascii="Arial" w:hAnsi="Arial"/>
          <w:sz w:val="22"/>
        </w:rPr>
        <w:t xml:space="preserve"> as </w:t>
      </w:r>
      <w:r>
        <w:rPr>
          <w:rFonts w:ascii="Consolas" w:hAnsi="Consolas"/>
          <w:rFonts w:ascii="Consolas" w:hAnsi="Consolas"/>
          <w:sz w:val="20"/>
        </w:rPr>
        <w:t>vlms_app</w:t>
      </w:r>
      <w:r>
        <w:rPr>
          <w:rFonts w:ascii="Arial" w:hAnsi="Arial"/>
          <w:sz w:val="22"/>
        </w:rPr>
        <w:t xml:space="preserve"> must fail" verification step, which this pass makes doubly true).</w:t>
      </w:r>
    </w:p>
    <w:p>
      <w:pPr>
        <w:keepNext/>
        <w:spacing w:before="200" w:after="80"/>
        <w:outlineLvl w:val="1"/>
      </w:pPr>
      <w:r>
        <w:rPr>
          <w:rFonts w:ascii="Arial" w:hAnsi="Arial"/>
          <w:b/>
          <w:color w:val="1F2937"/>
          <w:sz w:val="26"/>
        </w:rPr>
        <w:t>Alternatives considered</w:t>
      </w:r>
    </w:p>
    <w:p>
      <w:pPr>
        <w:spacing w:after="40"/>
        <w:ind w:left="620" w:hanging="260"/>
      </w:pPr>
      <w:r>
        <w:rPr>
          <w:rFonts w:ascii="Arial" w:hAnsi="Arial"/>
          <w:sz w:val="22"/>
        </w:rPr>
        <w:t xml:space="preserve">•  </w:t>
      </w:r>
      <w:r>
        <w:rPr>
          <w:rFonts w:ascii="Arial" w:hAnsi="Arial"/>
          <w:b/>
          <w:sz w:val="22"/>
        </w:rPr>
        <w:t>Per-column masking via a query filter</w:t>
      </w:r>
      <w:r>
        <w:rPr>
          <w:rFonts w:ascii="Arial" w:hAnsi="Arial"/>
          <w:sz w:val="22"/>
        </w:rPr>
        <w:t xml:space="preserve"> (the original decision) — rejected: technically impossible for the reason above; kept here as a record of what was wrong, not as a live option.</w:t>
      </w:r>
    </w:p>
    <w:p>
      <w:pPr>
        <w:spacing w:after="40"/>
        <w:ind w:left="620" w:hanging="260"/>
      </w:pPr>
      <w:r>
        <w:rPr>
          <w:rFonts w:ascii="Arial" w:hAnsi="Arial"/>
          <w:sz w:val="22"/>
        </w:rPr>
        <w:t xml:space="preserve">•  </w:t>
      </w:r>
      <w:r>
        <w:rPr>
          <w:rFonts w:ascii="Arial" w:hAnsi="Arial"/>
          <w:b/>
          <w:sz w:val="22"/>
        </w:rPr>
        <w:t>Per-call data-access-layer policy checks</w:t>
      </w:r>
      <w:r>
        <w:rPr>
          <w:rFonts w:ascii="Arial" w:hAnsi="Arial"/>
          <w:sz w:val="22"/>
        </w:rPr>
        <w:t xml:space="preserve"> — rejected: correct in principle, but relies on every future query author remembering to apply it; not structural.</w:t>
      </w:r>
    </w:p>
    <w:p>
      <w:pPr>
        <w:spacing w:after="40"/>
        <w:ind w:left="620" w:hanging="260"/>
      </w:pPr>
      <w:r>
        <w:rPr>
          <w:rFonts w:ascii="Arial" w:hAnsi="Arial"/>
          <w:sz w:val="22"/>
        </w:rPr>
        <w:t xml:space="preserve">•  </w:t>
      </w:r>
      <w:r>
        <w:rPr>
          <w:rFonts w:ascii="Arial" w:hAnsi="Arial"/>
          <w:b/>
          <w:sz w:val="22"/>
        </w:rPr>
        <w:t>Database-level column encryption</w:t>
      </w:r>
      <w:r>
        <w:rPr>
          <w:rFonts w:ascii="Arial" w:hAnsi="Arial"/>
          <w:sz w:val="22"/>
        </w:rPr>
        <w:t xml:space="preserve"> (e.g. Always Encrypted) — rejected for v1: real operational complexity (key management, limited queryability) disproportionate to a solo-maintained, tens-of-users system; the entity-split + query-filter approach gives equivalent access control for the actual threat model here (accidental over-exposure within the application, not a compromised database administrator).</w:t>
      </w:r>
    </w:p>
    <w:p>
      <w:pPr>
        <w:spacing w:after="40"/>
        <w:ind w:left="620" w:hanging="260"/>
      </w:pPr>
      <w:r>
        <w:rPr>
          <w:rFonts w:ascii="Arial" w:hAnsi="Arial"/>
          <w:sz w:val="22"/>
        </w:rPr>
        <w:t xml:space="preserve">•  </w:t>
      </w:r>
      <w:r>
        <w:rPr>
          <w:rFonts w:ascii="Arial" w:hAnsi="Arial"/>
          <w:b/>
          <w:sz w:val="22"/>
        </w:rPr>
        <w:t>A mandatory repository wrapper method for the audit log write</w:t>
      </w:r>
      <w:r>
        <w:rPr>
          <w:rFonts w:ascii="Arial" w:hAnsi="Arial"/>
          <w:sz w:val="22"/>
        </w:rPr>
        <w:t xml:space="preserve"> — rejected: a wrapper is opt-in by construction (a new query path could bypass it).</w:t>
      </w:r>
    </w:p>
    <w:p>
      <w:pPr>
        <w:spacing w:after="40"/>
        <w:ind w:left="620" w:hanging="260"/>
      </w:pPr>
      <w:r>
        <w:rPr>
          <w:rFonts w:ascii="Arial" w:hAnsi="Arial"/>
          <w:sz w:val="22"/>
        </w:rPr>
        <w:t xml:space="preserve">•  </w:t>
      </w:r>
      <w:r>
        <w:rPr>
          <w:rFonts w:ascii="Arial" w:hAnsi="Arial"/>
          <w:b/>
          <w:sz w:val="22"/>
        </w:rPr>
        <w:t>`DbCommandInterceptor`</w:t>
      </w:r>
      <w:r>
        <w:rPr>
          <w:rFonts w:ascii="Arial" w:hAnsi="Arial"/>
          <w:sz w:val="22"/>
        </w:rPr>
        <w:t xml:space="preserve"> (the pass-2 decision) — rejected at pass 3: operates on raw SQL/</w:t>
      </w:r>
      <w:r>
        <w:rPr>
          <w:rFonts w:ascii="Consolas" w:hAnsi="Consolas"/>
          <w:rFonts w:ascii="Consolas" w:hAnsi="Consolas"/>
          <w:sz w:val="20"/>
        </w:rPr>
        <w:t>CommandText</w:t>
      </w:r>
      <w:r>
        <w:rPr>
          <w:rFonts w:ascii="Arial" w:hAnsi="Arial"/>
          <w:sz w:val="22"/>
        </w:rPr>
        <w:t xml:space="preserve"> and a forward-only </w:t>
      </w:r>
      <w:r>
        <w:rPr>
          <w:rFonts w:ascii="Consolas" w:hAnsi="Consolas"/>
          <w:rFonts w:ascii="Consolas" w:hAnsi="Consolas"/>
          <w:sz w:val="20"/>
        </w:rPr>
        <w:t>DbDataReader</w:t>
      </w:r>
      <w:r>
        <w:rPr>
          <w:rFonts w:ascii="Arial" w:hAnsi="Arial"/>
          <w:sz w:val="22"/>
        </w:rPr>
        <w:t xml:space="preserve">, with no direct route to a typed </w:t>
      </w:r>
      <w:r>
        <w:rPr>
          <w:rFonts w:ascii="Consolas" w:hAnsi="Consolas"/>
          <w:rFonts w:ascii="Consolas" w:hAnsi="Consolas"/>
          <w:sz w:val="20"/>
        </w:rPr>
        <w:t>EntityId</w:t>
      </w:r>
      <w:r>
        <w:rPr>
          <w:rFonts w:ascii="Arial" w:hAnsi="Arial"/>
          <w:sz w:val="22"/>
        </w:rPr>
        <w:t xml:space="preserve"> without fragile text-matching or reader-handling that risks conflicting with EF's own materialization. Kept here as a record of what was under-specified, not as a live option.</w:t>
      </w:r>
    </w:p>
    <w:p>
      <w:pPr>
        <w:spacing w:after="40"/>
        <w:ind w:left="620" w:hanging="260"/>
      </w:pPr>
      <w:r>
        <w:rPr>
          <w:rFonts w:ascii="Arial" w:hAnsi="Arial"/>
          <w:sz w:val="22"/>
        </w:rPr>
        <w:t xml:space="preserve">•  </w:t>
      </w:r>
      <w:r>
        <w:rPr>
          <w:rFonts w:ascii="Arial" w:hAnsi="Arial"/>
          <w:b/>
          <w:sz w:val="22"/>
        </w:rPr>
        <w:t>`IQueryExpressionInterceptor`</w:t>
      </w:r>
      <w:r>
        <w:rPr>
          <w:rFonts w:ascii="Arial" w:hAnsi="Arial"/>
          <w:sz w:val="22"/>
        </w:rPr>
        <w:t xml:space="preserve"> — rejected: fires once per query-plan compilation, not per execution, so a second call with the same query shape but a different parameter (e.g. a different student's </w:t>
      </w:r>
      <w:r>
        <w:rPr>
          <w:rFonts w:ascii="Consolas" w:hAnsi="Consolas"/>
          <w:rFonts w:ascii="Consolas" w:hAnsi="Consolas"/>
          <w:sz w:val="20"/>
        </w:rPr>
        <w:t>ConsentSensitiveDetails</w:t>
      </w:r>
      <w:r>
        <w:rPr>
          <w:rFonts w:ascii="Arial" w:hAnsi="Arial"/>
          <w:sz w:val="22"/>
        </w:rPr>
        <w:t>) would not re-trigger it under EF's compiled-query cache — silently under-recording exactly the reads this control exists to catch.</w:t>
      </w:r>
    </w:p>
    <w:p>
      <w:pPr>
        <w:spacing w:after="40"/>
        <w:ind w:left="620" w:hanging="260"/>
      </w:pPr>
      <w:r>
        <w:rPr>
          <w:rFonts w:ascii="Arial" w:hAnsi="Arial"/>
          <w:sz w:val="22"/>
        </w:rPr>
        <w:t xml:space="preserve">•  </w:t>
      </w:r>
      <w:r>
        <w:rPr>
          <w:rFonts w:ascii="Arial" w:hAnsi="Arial"/>
          <w:b/>
          <w:sz w:val="22"/>
        </w:rPr>
        <w:t>A dedicated `VlmsAppRole` for the tamper-protection DENY</w:t>
      </w:r>
      <w:r>
        <w:rPr>
          <w:rFonts w:ascii="Arial" w:hAnsi="Arial"/>
          <w:sz w:val="22"/>
        </w:rPr>
        <w:t xml:space="preserve"> (the pass-4 decision) — rejected at pass 5: an opt-in role starts with zero members, so the </w:t>
      </w:r>
      <w:r>
        <w:rPr>
          <w:rFonts w:ascii="Consolas" w:hAnsi="Consolas"/>
          <w:rFonts w:ascii="Consolas" w:hAnsi="Consolas"/>
          <w:sz w:val="20"/>
        </w:rPr>
        <w:t>DENY UPDATE</w:t>
      </w:r>
      <w:r>
        <w:rPr>
          <w:rFonts w:ascii="Arial" w:hAnsi="Arial"/>
          <w:sz w:val="22"/>
        </w:rPr>
        <w:t>/</w:t>
      </w:r>
      <w:r>
        <w:rPr>
          <w:rFonts w:ascii="Consolas" w:hAnsi="Consolas"/>
          <w:rFonts w:ascii="Consolas" w:hAnsi="Consolas"/>
          <w:sz w:val="20"/>
        </w:rPr>
        <w:t>DELETE</w:t>
      </w:r>
      <w:r>
        <w:rPr>
          <w:rFonts w:ascii="Arial" w:hAnsi="Arial"/>
          <w:sz w:val="22"/>
        </w:rPr>
        <w:t xml:space="preserve"> on </w:t>
      </w:r>
      <w:r>
        <w:rPr>
          <w:rFonts w:ascii="Consolas" w:hAnsi="Consolas"/>
          <w:rFonts w:ascii="Consolas" w:hAnsi="Consolas"/>
          <w:sz w:val="20"/>
        </w:rPr>
        <w:t>SensitiveDataAccessLogs</w:t>
      </w:r>
      <w:r>
        <w:rPr>
          <w:rFonts w:ascii="Arial" w:hAnsi="Arial"/>
          <w:sz w:val="22"/>
        </w:rPr>
        <w:t xml:space="preserve"> was inert until a deployer remembered to add the production principal — a control that could silently protect nothing despite the migration running cleanly. Scoping a broad tamper-protection restriction to a role you opt into inverts the intent of the control. Replaced by </w:t>
      </w:r>
      <w:r>
        <w:rPr>
          <w:rFonts w:ascii="Consolas" w:hAnsi="Consolas"/>
          <w:rFonts w:ascii="Consolas" w:hAnsi="Consolas"/>
          <w:sz w:val="20"/>
        </w:rPr>
        <w:t>DENY ... TO public</w:t>
      </w:r>
      <w:r>
        <w:rPr>
          <w:rFonts w:ascii="Arial" w:hAnsi="Arial"/>
          <w:sz w:val="22"/>
        </w:rPr>
        <w:t xml:space="preserve"> (see Decision §4), which applies to every principal automatically. Kept here as a record of what was under-provisioned, not as a live option. Superseded entirely at pass 6 by the PostgreSQL port below (SQL Server's DENY no longer runs at all).</w:t>
      </w:r>
    </w:p>
    <w:p>
      <w:pPr>
        <w:spacing w:after="40"/>
        <w:ind w:left="620" w:hanging="260"/>
      </w:pPr>
      <w:r>
        <w:rPr>
          <w:rFonts w:ascii="Arial" w:hAnsi="Arial"/>
          <w:sz w:val="22"/>
        </w:rPr>
        <w:t xml:space="preserve">•  </w:t>
      </w:r>
      <w:r>
        <w:rPr>
          <w:rFonts w:ascii="Arial" w:hAnsi="Arial"/>
          <w:b/>
          <w:sz w:val="22"/>
        </w:rPr>
        <w:t>Row-Level Security for the PostgreSQL tamper protection</w:t>
      </w:r>
      <w:r>
        <w:rPr>
          <w:rFonts w:ascii="Arial" w:hAnsi="Arial"/>
          <w:sz w:val="22"/>
        </w:rPr>
        <w:t xml:space="preserve"> (pass 6) — considered as the mechanism that would actually deliver </w:t>
      </w:r>
      <w:r>
        <w:rPr>
          <w:rFonts w:ascii="Consolas" w:hAnsi="Consolas"/>
          <w:rFonts w:ascii="Consolas" w:hAnsi="Consolas"/>
          <w:sz w:val="20"/>
        </w:rPr>
        <w:t>DENY</w:t>
      </w:r>
      <w:r>
        <w:rPr>
          <w:rFonts w:ascii="Arial" w:hAnsi="Arial"/>
          <w:sz w:val="22"/>
        </w:rPr>
        <w:t xml:space="preserve">'s override-every-grant guarantee (see Decision §4), and </w:t>
      </w:r>
      <w:r>
        <w:rPr>
          <w:rFonts w:ascii="Arial" w:hAnsi="Arial"/>
          <w:b/>
          <w:sz w:val="22"/>
        </w:rPr>
        <w:t>deferred, not rejected, at pass 6</w:t>
      </w:r>
      <w:r>
        <w:rPr>
          <w:rFonts w:ascii="Arial" w:hAnsi="Arial"/>
          <w:sz w:val="22"/>
        </w:rPr>
        <w:t>: it needs an explicit policy for every command that must keep working (</w:t>
      </w:r>
      <w:r>
        <w:rPr>
          <w:rFonts w:ascii="Consolas" w:hAnsi="Consolas"/>
          <w:rFonts w:ascii="Consolas" w:hAnsi="Consolas"/>
          <w:sz w:val="20"/>
        </w:rPr>
        <w:t>SELECT</w:t>
      </w:r>
      <w:r>
        <w:rPr>
          <w:rFonts w:ascii="Arial" w:hAnsi="Arial"/>
          <w:sz w:val="22"/>
        </w:rPr>
        <w:t>/</w:t>
      </w:r>
      <w:r>
        <w:rPr>
          <w:rFonts w:ascii="Consolas" w:hAnsi="Consolas"/>
          <w:rFonts w:ascii="Consolas" w:hAnsi="Consolas"/>
          <w:sz w:val="20"/>
        </w:rPr>
        <w:t>INSERT</w:t>
      </w:r>
      <w:r>
        <w:rPr>
          <w:rFonts w:ascii="Arial" w:hAnsi="Arial"/>
          <w:sz w:val="22"/>
        </w:rPr>
        <w:t xml:space="preserve">) or that command is default-denied too the moment row security is enabled, and a mistake there would silently break the audit interceptor's own </w:t>
      </w:r>
      <w:r>
        <w:rPr>
          <w:rFonts w:ascii="Consolas" w:hAnsi="Consolas"/>
          <w:rFonts w:ascii="Consolas" w:hAnsi="Consolas"/>
          <w:sz w:val="20"/>
        </w:rPr>
        <w:t>INSERT</w:t>
      </w:r>
      <w:r>
        <w:rPr>
          <w:rFonts w:ascii="Arial" w:hAnsi="Arial"/>
          <w:sz w:val="22"/>
        </w:rPr>
        <w:t xml:space="preserve"> path — too much new risk to fold into a same-provider migration port. Tracked as a separate, deliberately higher-scrutiny follow-up (</w:t>
      </w:r>
      <w:r>
        <w:rPr>
          <w:rFonts w:ascii="Consolas" w:hAnsi="Consolas"/>
          <w:rFonts w:ascii="Consolas" w:hAnsi="Consolas"/>
          <w:sz w:val="20"/>
        </w:rPr>
        <w:t>STATE.md</w:t>
      </w:r>
      <w:r>
        <w:rPr>
          <w:rFonts w:ascii="Arial" w:hAnsi="Arial"/>
          <w:sz w:val="22"/>
        </w:rPr>
        <w:t xml:space="preserve"> Next) rather than attempted in pass 6. </w:t>
      </w:r>
      <w:r>
        <w:rPr>
          <w:rFonts w:ascii="Arial" w:hAnsi="Arial"/>
          <w:b/>
          <w:sz w:val="22"/>
        </w:rPr>
        <w:t>Built at pass 8</w:t>
      </w:r>
      <w:r>
        <w:rPr>
          <w:rFonts w:ascii="Arial" w:hAnsi="Arial"/>
          <w:sz w:val="22"/>
        </w:rPr>
        <w:t xml:space="preserve"> (Decision §6) — the deferral was resolved, not abandoned.</w:t>
      </w:r>
    </w:p>
    <w:p>
      <w:pPr>
        <w:spacing w:after="40"/>
        <w:ind w:left="620" w:hanging="260"/>
      </w:pPr>
      <w:r>
        <w:rPr>
          <w:rFonts w:ascii="Arial" w:hAnsi="Arial"/>
          <w:sz w:val="22"/>
        </w:rPr>
        <w:t xml:space="preserve">•  </w:t>
      </w:r>
      <w:r>
        <w:rPr>
          <w:rFonts w:ascii="Arial" w:hAnsi="Arial"/>
          <w:b/>
          <w:sz w:val="22"/>
        </w:rPr>
        <w:t>A Testcontainers-backed live-PostgreSQL integration test for the pass-8 RLS policies</w:t>
      </w:r>
      <w:r>
        <w:rPr>
          <w:rFonts w:ascii="Arial" w:hAnsi="Arial"/>
          <w:sz w:val="22"/>
        </w:rPr>
        <w:t xml:space="preserve"> — considered (the task that produced pass 8 explicitly asked this to be decided rather than assumed) and not built: no Docker daemon is available in this project's build/dev environment (checked directly, not assumed), and this repo's existing test-provider strategy (</w:t>
      </w:r>
      <w:r>
        <w:rPr>
          <w:rFonts w:ascii="Consolas" w:hAnsi="Consolas"/>
          <w:rFonts w:ascii="Consolas" w:hAnsi="Consolas"/>
          <w:sz w:val="20"/>
        </w:rPr>
        <w:t>openwiki/testing.md</w:t>
      </w:r>
      <w:r>
        <w:rPr>
          <w:rFonts w:ascii="Arial" w:hAnsi="Arial"/>
          <w:sz w:val="22"/>
        </w:rPr>
        <w:t>) already treats "verify PostgreSQL-specific SQL against current documentation, then lock in the generated script text" as the deliberate substitute for a solo-maintained "fewest moving parts" build, not a gap nobody noticed. Kept as a candidate to revisit if a genuine PostgreSQL-specific RLS behavioural bug is ever suspected against a live server — not as a standing TODO.</w:t>
      </w:r>
    </w:p>
    <w:p>
      <w:pPr>
        <w:spacing w:after="40"/>
        <w:ind w:left="620" w:hanging="260"/>
      </w:pPr>
      <w:r>
        <w:rPr>
          <w:rFonts w:ascii="Arial" w:hAnsi="Arial"/>
          <w:sz w:val="22"/>
        </w:rPr>
        <w:t xml:space="preserve">•  </w:t>
      </w:r>
      <w:r>
        <w:rPr>
          <w:rFonts w:ascii="Arial" w:hAnsi="Arial"/>
          <w:b/>
          <w:sz w:val="22"/>
        </w:rPr>
        <w:t>MFA enforced only at the page/policy layer</w:t>
      </w:r>
      <w:r>
        <w:rPr>
          <w:rFonts w:ascii="Arial" w:hAnsi="Arial"/>
          <w:sz w:val="22"/>
        </w:rPr>
        <w:t xml:space="preserve"> (pass 7 — the </w:t>
      </w:r>
      <w:r>
        <w:rPr>
          <w:rFonts w:ascii="Consolas" w:hAnsi="Consolas"/>
          <w:rFonts w:ascii="Consolas" w:hAnsi="Consolas"/>
          <w:sz w:val="20"/>
        </w:rPr>
        <w:t>MfaRequirement</w:t>
      </w:r>
      <w:r>
        <w:rPr>
          <w:rFonts w:ascii="Arial" w:hAnsi="Arial"/>
          <w:sz w:val="22"/>
        </w:rPr>
        <w:t xml:space="preserve"> policy alone, with no query-filter conjunct) — rejected: this ADR's own governing principle is that whole-entity restriction must be structural at the data layer, not something every caller/page has to remember (Decision §2); a page-only gate leaves any non-page code path (a scheduled job, a future report/export) able to read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for an MFA-less Admin/SafeguardingOfficer with nothing to stop it. See Decision §5(a).</w:t>
      </w:r>
    </w:p>
    <w:p>
      <w:pPr>
        <w:keepNext/>
        <w:spacing w:before="200" w:after="80"/>
        <w:outlineLvl w:val="1"/>
      </w:pPr>
      <w:r>
        <w:rPr>
          <w:rFonts w:ascii="Arial" w:hAnsi="Arial"/>
          <w:b/>
          <w:color w:val="1F2937"/>
          <w:sz w:val="26"/>
        </w:rPr>
        <w:t>Consequences</w:t>
      </w:r>
    </w:p>
    <w:p>
      <w:pPr>
        <w:spacing w:after="40"/>
        <w:ind w:left="620" w:hanging="260"/>
      </w:pPr>
      <w:r>
        <w:rPr>
          <w:rFonts w:ascii="Arial" w:hAnsi="Arial"/>
          <w:sz w:val="22"/>
        </w:rPr>
        <w:t xml:space="preserve">•  </w:t>
      </w:r>
      <w:r>
        <w:rPr>
          <w:rFonts w:ascii="Arial" w:hAnsi="Arial"/>
          <w:sz w:val="22"/>
        </w:rPr>
        <w:t xml:space="preserve">All EF Core queries against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go through the shared </w:t>
      </w:r>
      <w:r>
        <w:rPr>
          <w:rFonts w:ascii="Consolas" w:hAnsi="Consolas"/>
          <w:rFonts w:ascii="Consolas" w:hAnsi="Consolas"/>
          <w:sz w:val="20"/>
        </w:rPr>
        <w:t>DbContext</w:t>
      </w:r>
      <w:r>
        <w:rPr>
          <w:rFonts w:ascii="Arial" w:hAnsi="Arial"/>
          <w:sz w:val="22"/>
        </w:rPr>
        <w:t xml:space="preserve"> with filters and the audit interceptor applied; any new reporting/export feature is safe and logged by default.</w:t>
      </w:r>
    </w:p>
    <w:p>
      <w:pPr>
        <w:spacing w:after="40"/>
        <w:ind w:left="620" w:hanging="260"/>
      </w:pPr>
      <w:r>
        <w:rPr>
          <w:rFonts w:ascii="Arial" w:hAnsi="Arial"/>
          <w:sz w:val="22"/>
        </w:rPr>
        <w:t xml:space="preserve">•  </w:t>
      </w:r>
      <w:r>
        <w:rPr>
          <w:rFonts w:ascii="Arial" w:hAnsi="Arial"/>
          <w:sz w:val="22"/>
        </w:rPr>
        <w:t xml:space="preserve">Any code needing both consent status and sensitive details (there is currently none identified) must join </w:t>
      </w:r>
      <w:r>
        <w:rPr>
          <w:rFonts w:ascii="Consolas" w:hAnsi="Consolas"/>
          <w:rFonts w:ascii="Consolas" w:hAnsi="Consolas"/>
          <w:sz w:val="20"/>
        </w:rPr>
        <w:t>ConsentRecord</w:t>
      </w:r>
      <w:r>
        <w:rPr>
          <w:rFonts w:ascii="Arial" w:hAnsi="Arial"/>
          <w:sz w:val="22"/>
        </w:rPr>
        <w:t xml:space="preserve"> and </w:t>
      </w:r>
      <w:r>
        <w:rPr>
          <w:rFonts w:ascii="Consolas" w:hAnsi="Consolas"/>
          <w:rFonts w:ascii="Consolas" w:hAnsi="Consolas"/>
          <w:sz w:val="20"/>
        </w:rPr>
        <w:t>ConsentSensitiveDetails</w:t>
      </w:r>
      <w:r>
        <w:rPr>
          <w:rFonts w:ascii="Arial" w:hAnsi="Arial"/>
          <w:sz w:val="22"/>
        </w:rPr>
        <w:t xml:space="preserve"> explicitly and will be denied the latter unless the caller's role permits it.</w:t>
      </w:r>
    </w:p>
    <w:p>
      <w:pPr>
        <w:spacing w:after="40"/>
        <w:ind w:left="620" w:hanging="260"/>
      </w:pPr>
      <w:r>
        <w:rPr>
          <w:rFonts w:ascii="Arial" w:hAnsi="Arial"/>
          <w:sz w:val="22"/>
        </w:rPr>
        <w:t xml:space="preserve">•  </w:t>
      </w:r>
      <w:r>
        <w:rPr>
          <w:rFonts w:ascii="Arial" w:hAnsi="Arial"/>
          <w:sz w:val="22"/>
        </w:rPr>
        <w:t>The read-audit log adds write volume proportional to how often sensitive data is viewed — negligible at tens-of-users scale — and its own 6-year retention is independent of the referenced record's retention.</w:t>
      </w:r>
    </w:p>
    <w:p>
      <w:pPr>
        <w:spacing w:after="40"/>
        <w:ind w:left="620" w:hanging="260"/>
      </w:pPr>
      <w:r>
        <w:rPr>
          <w:rFonts w:ascii="Arial" w:hAnsi="Arial"/>
          <w:sz w:val="22"/>
        </w:rPr>
        <w:t xml:space="preserve">•  </w:t>
      </w:r>
      <w:r>
        <w:rPr>
          <w:rFonts w:ascii="Arial" w:hAnsi="Arial"/>
          <w:sz w:val="22"/>
        </w:rPr>
        <w:t>OWASP ASVS 5.0's access-control and logging chapters should be checked against this mechanism at build/test time (</w:t>
      </w:r>
      <w:r>
        <w:rPr>
          <w:rFonts w:ascii="Consolas" w:hAnsi="Consolas"/>
          <w:rFonts w:ascii="Consolas" w:hAnsi="Consolas"/>
          <w:sz w:val="20"/>
        </w:rPr>
        <w:t>quality/test-plan.md</w:t>
      </w:r>
      <w:r>
        <w:rPr>
          <w:rFonts w:ascii="Arial" w:hAnsi="Arial"/>
          <w:sz w:val="22"/>
        </w:rPr>
        <w:t xml:space="preserve"> TC-007/TC-008/TC-011), not just assumed satisfied by this ADR.</w:t>
      </w:r>
    </w:p>
    <w:p>
      <w:pPr>
        <w:spacing w:after="40"/>
        <w:ind w:left="620" w:hanging="260"/>
      </w:pPr>
      <w:r>
        <w:rPr>
          <w:rFonts w:ascii="Arial" w:hAnsi="Arial"/>
          <w:sz w:val="22"/>
        </w:rPr>
        <w:t xml:space="preserve">•  </w:t>
      </w:r>
      <w:r>
        <w:rPr>
          <w:rFonts w:ascii="Arial" w:hAnsi="Arial"/>
          <w:b/>
          <w:sz w:val="22"/>
        </w:rPr>
        <w:t>(Pass 8)</w:t>
      </w:r>
      <w:r>
        <w:rPr>
          <w:rFonts w:ascii="Arial" w:hAnsi="Arial"/>
          <w:sz w:val="22"/>
        </w:rPr>
        <w:t xml:space="preserve"> Any future retention-purge job for </w:t>
      </w:r>
      <w:r>
        <w:rPr>
          <w:rFonts w:ascii="Consolas" w:hAnsi="Consolas"/>
          <w:rFonts w:ascii="Consolas" w:hAnsi="Consolas"/>
          <w:sz w:val="20"/>
        </w:rPr>
        <w:t>SensitiveDataAccessLog</w:t>
      </w:r>
      <w:r>
        <w:rPr>
          <w:rFonts w:ascii="Arial" w:hAnsi="Arial"/>
          <w:sz w:val="22"/>
        </w:rPr>
        <w:t xml:space="preserve"> (the still-not-built 6-year-retention deletion, noted since pass 6) must now run as a genuine PostgreSQL superuser or a role explicitly granted </w:t>
      </w:r>
      <w:r>
        <w:rPr>
          <w:rFonts w:ascii="Consolas" w:hAnsi="Consolas"/>
          <w:rFonts w:ascii="Consolas" w:hAnsi="Consolas"/>
          <w:sz w:val="20"/>
        </w:rPr>
        <w:t>BYPASSRLS</w:t>
      </w:r>
      <w:r>
        <w:rPr>
          <w:rFonts w:ascii="Arial" w:hAnsi="Arial"/>
          <w:sz w:val="22"/>
        </w:rPr>
        <w:t xml:space="preserve"> — </w:t>
      </w:r>
      <w:r>
        <w:rPr>
          <w:rFonts w:ascii="Consolas" w:hAnsi="Consolas"/>
          <w:rFonts w:ascii="Consolas" w:hAnsi="Consolas"/>
          <w:sz w:val="20"/>
        </w:rPr>
        <w:t>vlms_app</w:t>
      </w:r>
      <w:r>
        <w:rPr>
          <w:rFonts w:ascii="Arial" w:hAnsi="Arial"/>
          <w:sz w:val="22"/>
        </w:rPr>
        <w:t xml:space="preserve">'s ordinary connection identity can no longer </w:t>
      </w:r>
      <w:r>
        <w:rPr>
          <w:rFonts w:ascii="Consolas" w:hAnsi="Consolas"/>
          <w:rFonts w:ascii="Consolas" w:hAnsi="Consolas"/>
          <w:sz w:val="20"/>
        </w:rPr>
        <w:t>DELETE</w:t>
      </w:r>
      <w:r>
        <w:rPr>
          <w:rFonts w:ascii="Arial" w:hAnsi="Arial"/>
          <w:sz w:val="22"/>
        </w:rPr>
        <w:t xml:space="preserve"> from this table under any circumstance, by design. This is a slightly stronger constraint on that future work than pass 6 left it (previously "never grant vlms_app UPDATE/DELETE directly"; now "no ordinary role can do it at all, full stop, regardless of grants") — worth restating in whatever design note eventually builds that purge job.</w:t>
      </w:r>
    </w:p>
    <w:p>
      <w:pPr>
        <w:keepNext/>
        <w:spacing w:before="280" w:after="120"/>
        <w:outlineLvl w:val="0"/>
      </w:pPr>
      <w:r>
        <w:rPr>
          <w:rFonts w:ascii="Arial" w:hAnsi="Arial"/>
          <w:b/>
          <w:color w:val="111827"/>
          <w:sz w:val="32"/>
        </w:rPr>
        <w:t>0005 - Hosting pivot: self-hosted VPS + PostgreSQL</w:t>
      </w:r>
    </w:p>
    <w:p>
      <w:pPr>
        <w:keepNext/>
        <w:spacing w:before="200" w:after="80"/>
        <w:outlineLvl w:val="1"/>
      </w:pPr>
      <w:r>
        <w:rPr>
          <w:rFonts w:ascii="Arial" w:hAnsi="Arial"/>
          <w:b/>
          <w:color w:val="1F2937"/>
          <w:sz w:val="26"/>
        </w:rPr>
        <w:t>Status</w:t>
      </w:r>
    </w:p>
    <w:p>
      <w:pPr>
        <w:spacing w:after="80"/>
      </w:pPr>
      <w:r>
        <w:rPr>
          <w:rFonts w:ascii="Arial" w:hAnsi="Arial"/>
          <w:sz w:val="22"/>
        </w:rPr>
        <w:t xml:space="preserve">Accepted. Partially supersedes </w:t>
      </w:r>
      <w:r>
        <w:rPr>
          <w:rFonts w:ascii="Consolas" w:hAnsi="Consolas"/>
          <w:rFonts w:ascii="Consolas" w:hAnsi="Consolas"/>
          <w:sz w:val="20"/>
        </w:rPr>
        <w:t>adr/0001-technology-stack.md</w:t>
      </w:r>
      <w:r>
        <w:rPr>
          <w:rFonts w:ascii="Arial" w:hAnsi="Arial"/>
          <w:sz w:val="22"/>
        </w:rPr>
        <w:t xml:space="preserve"> (hosting, database, identity, file storage, email). Amends </w:t>
      </w:r>
      <w:r>
        <w:rPr>
          <w:rFonts w:ascii="Consolas" w:hAnsi="Consolas"/>
          <w:rFonts w:ascii="Consolas" w:hAnsi="Consolas"/>
          <w:sz w:val="20"/>
        </w:rPr>
        <w:t>adr/0003-scheduled-jobs-webjobs.md</w:t>
      </w:r>
      <w:r>
        <w:rPr>
          <w:rFonts w:ascii="Arial" w:hAnsi="Arial"/>
          <w:sz w:val="22"/>
        </w:rPr>
        <w:t xml:space="preserve"> (execution host only). Requires a follow-up implementation change to </w:t>
      </w:r>
      <w:r>
        <w:rPr>
          <w:rFonts w:ascii="Consolas" w:hAnsi="Consolas"/>
          <w:rFonts w:ascii="Consolas" w:hAnsi="Consolas"/>
          <w:sz w:val="20"/>
        </w:rPr>
        <w:t>adr/0004-sensitive-data-access-control.md</w:t>
      </w:r>
      <w:r>
        <w:rPr>
          <w:rFonts w:ascii="Arial" w:hAnsi="Arial"/>
          <w:sz w:val="22"/>
        </w:rPr>
        <w:t xml:space="preserve"> §4 (DB engine changes; the access-control/audit design does not).</w:t>
      </w:r>
    </w:p>
    <w:p>
      <w:pPr>
        <w:keepNext/>
        <w:spacing w:before="200" w:after="80"/>
        <w:outlineLvl w:val="1"/>
      </w:pPr>
      <w:r>
        <w:rPr>
          <w:rFonts w:ascii="Arial" w:hAnsi="Arial"/>
          <w:b/>
          <w:color w:val="1F2937"/>
          <w:sz w:val="26"/>
        </w:rPr>
        <w:t>Context</w:t>
      </w:r>
    </w:p>
    <w:p>
      <w:pPr>
        <w:spacing w:after="80"/>
      </w:pPr>
      <w:r>
        <w:rPr>
          <w:rFonts w:ascii="Consolas" w:hAnsi="Consolas"/>
          <w:rFonts w:ascii="Consolas" w:hAnsi="Consolas"/>
          <w:sz w:val="20"/>
        </w:rPr>
        <w:t>adr/0001-technology-stack.md</w:t>
      </w:r>
      <w:r>
        <w:rPr>
          <w:rFonts w:ascii="Arial" w:hAnsi="Arial"/>
          <w:sz w:val="22"/>
        </w:rPr>
        <w:t xml:space="preserve"> accepted Azure App Service (B1) + Azure SQL Database (Basic/S0) + Microsoft Entra External ID + Azure Blob Storage + Azure Communication Services Email on the framing "no hard budget ceiling, but a stated preference for low ongoing hosting cost." That framing was never checked against real prices.</w:t>
      </w:r>
    </w:p>
    <w:p>
      <w:pPr>
        <w:spacing w:after="80"/>
      </w:pPr>
      <w:r>
        <w:rPr>
          <w:rFonts w:ascii="Arial" w:hAnsi="Arial"/>
          <w:sz w:val="22"/>
        </w:rPr>
        <w:t>A full cost review (</w:t>
      </w:r>
      <w:r>
        <w:rPr>
          <w:rFonts w:ascii="Consolas" w:hAnsi="Consolas"/>
          <w:rFonts w:ascii="Consolas" w:hAnsi="Consolas"/>
          <w:sz w:val="20"/>
        </w:rPr>
        <w:t>docs/design/hosting-cost-review-2026-07-20.md</w:t>
      </w:r>
      <w:r>
        <w:rPr>
          <w:rFonts w:ascii="Arial" w:hAnsi="Arial"/>
          <w:sz w:val="22"/>
        </w:rPr>
        <w:t xml:space="preserve">) found the accepted stack costs </w:t>
      </w:r>
      <w:r>
        <w:rPr>
          <w:rFonts w:ascii="Arial" w:hAnsi="Arial"/>
          <w:b/>
          <w:sz w:val="22"/>
        </w:rPr>
        <w:t>~$18–30/month in perpetuity at list price</w:t>
      </w:r>
      <w:r>
        <w:rPr>
          <w:rFonts w:ascii="Arial" w:hAnsi="Arial"/>
          <w:sz w:val="22"/>
        </w:rPr>
        <w:t xml:space="preserve">. This system is built for, and its hosting bill is paid by, Shrewsbury Orthodox Church, which runs the Varangians youth club (corrected 12/10/2026: Varangians is not itself a charity or separate organisation). The review also investigated whether Microsoft's nonprofit program's separate $2,000/year Azure Sponsorship grant covered this — </w:t>
      </w:r>
      <w:r>
        <w:rPr>
          <w:rFonts w:ascii="Arial" w:hAnsi="Arial"/>
          <w:b/>
          <w:sz w:val="22"/>
        </w:rPr>
        <w:t>the owner has confirmed the organisation does not hold that grant</w:t>
      </w:r>
      <w:r>
        <w:rPr>
          <w:rFonts w:ascii="Arial" w:hAnsi="Arial"/>
          <w:sz w:val="22"/>
        </w:rPr>
        <w:t xml:space="preserve"> (only the unrelated Microsoft 365 nonprofit tenant exists). Self-funding a recurring cloud bill for a solo-maintained, tens-of-users system, when a materially cheaper and still-compliant option exists, is not justified.</w:t>
      </w:r>
    </w:p>
    <w:p>
      <w:pPr>
        <w:spacing w:after="80"/>
      </w:pPr>
      <w:r>
        <w:rPr>
          <w:rFonts w:ascii="Arial" w:hAnsi="Arial"/>
          <w:sz w:val="22"/>
        </w:rPr>
        <w:t>The review also found, independently of cost, that Microsoft Entra External ID requires a brand-new dedicated tenant that cannot be attached to the organisation's existing workforce tenant — real operational overhead ADR-0001 did not account for, since it never priced identity as a cost driver (it's free either way under 50,000 MAU).</w:t>
      </w:r>
    </w:p>
    <w:p>
      <w:pPr>
        <w:spacing w:after="80"/>
      </w:pPr>
      <w:r>
        <w:rPr>
          <w:rFonts w:ascii="Arial" w:hAnsi="Arial"/>
          <w:b/>
          <w:sz w:val="22"/>
        </w:rPr>
        <w:t>The only hard constraints carried forward:</w:t>
      </w:r>
      <w:r>
        <w:rPr>
          <w:rFonts w:ascii="Arial" w:hAnsi="Arial"/>
          <w:sz w:val="22"/>
        </w:rPr>
        <w:t xml:space="preserve"> the documented business/functional requirements, including the whole-entity access-control/audit/retention model, must still be met, and the implementation remains .NET.</w:t>
      </w:r>
    </w:p>
    <w:p>
      <w:pPr>
        <w:keepNext/>
        <w:spacing w:before="200" w:after="80"/>
        <w:outlineLvl w:val="1"/>
      </w:pPr>
      <w:r>
        <w:rPr>
          <w:rFonts w:ascii="Arial" w:hAnsi="Arial"/>
          <w:b/>
          <w:color w:val="1F2937"/>
          <w:sz w:val="26"/>
        </w:rPr>
        <w:t>Decision</w:t>
      </w:r>
    </w:p>
    <w:p>
      <w:pPr>
        <w:spacing w:after="80"/>
      </w:pPr>
      <w:r>
        <w:rPr>
          <w:rFonts w:ascii="Arial" w:hAnsi="Arial"/>
          <w:sz w:val="22"/>
        </w:rPr>
        <w:t xml:space="preserve">Replace the following rows of </w:t>
      </w:r>
      <w:r>
        <w:rPr>
          <w:rFonts w:ascii="Consolas" w:hAnsi="Consolas"/>
          <w:rFonts w:ascii="Consolas" w:hAnsi="Consolas"/>
          <w:sz w:val="20"/>
        </w:rPr>
        <w:t>adr/0001-technology-stack.md</w:t>
      </w:r>
      <w:r>
        <w:rPr>
          <w:rFonts w:ascii="Arial" w:hAnsi="Arial"/>
          <w:sz w:val="22"/>
        </w:rPr>
        <w:t>'s stack table:</w:t>
      </w:r>
    </w:p>
    <w:tbl>
      <w:tblPr>
        <w:tblW w:type="auto" w:w="0"/>
        <w:jc w:val="center"/>
        <w:tblLook w:firstColumn="1" w:firstRow="1" w:lastColumn="0" w:lastRow="0" w:noHBand="0" w:noVBand="1" w:val="04A0"/>
        <w:tblBorders>
          <w:top w:val="single" w:sz="4" w:color="C7D7D9"/>
          <w:left w:val="single" w:sz="4" w:color="C7D7D9"/>
          <w:bottom w:val="single" w:sz="4" w:color="C7D7D9"/>
          <w:right w:val="single" w:sz="4" w:color="C7D7D9"/>
          <w:insideH w:val="single" w:sz="4" w:color="C7D7D9"/>
          <w:insideV w:val="single" w:sz="4" w:color="C7D7D9"/>
        </w:tblBorders>
      </w:tblPr>
      <w:tblGrid>
        <w:gridCol w:w="3009"/>
        <w:gridCol w:w="3009"/>
        <w:gridCol w:w="3009"/>
      </w:tblGrid>
      <w:tr>
        <w:tc>
          <w:tcPr>
            <w:tcW w:type="dxa" w:w="1435"/>
            <w:shd w:val="clear" w:color="auto" w:fill="374151"/>
          </w:tcPr>
          <w:p>
            <w:pPr>
              <w:spacing w:after="40" w:before="40"/>
            </w:pPr>
            <w:r>
              <w:rPr>
                <w:rFonts w:ascii="Arial" w:hAnsi="Arial"/>
                <w:b/>
                <w:color w:val="FFFFFF"/>
                <w:sz w:val="20"/>
              </w:rPr>
              <w:t>Concern</w:t>
            </w:r>
          </w:p>
        </w:tc>
        <w:tc>
          <w:tcPr>
            <w:tcW w:type="dxa" w:w="2988"/>
            <w:shd w:val="clear" w:color="auto" w:fill="374151"/>
          </w:tcPr>
          <w:p>
            <w:pPr>
              <w:spacing w:after="40" w:before="40"/>
            </w:pPr>
            <w:r>
              <w:rPr>
                <w:rFonts w:ascii="Arial" w:hAnsi="Arial"/>
                <w:b/>
                <w:color w:val="FFFFFF"/>
                <w:sz w:val="20"/>
              </w:rPr>
              <w:t>Old (ADR-0001)</w:t>
            </w:r>
          </w:p>
        </w:tc>
        <w:tc>
          <w:tcPr>
            <w:tcW w:type="dxa" w:w="4603"/>
            <w:shd w:val="clear" w:color="auto" w:fill="374151"/>
          </w:tcPr>
          <w:p>
            <w:pPr>
              <w:spacing w:after="40" w:before="40"/>
            </w:pPr>
            <w:r>
              <w:rPr>
                <w:rFonts w:ascii="Arial" w:hAnsi="Arial"/>
                <w:b/>
                <w:color w:val="FFFFFF"/>
                <w:sz w:val="20"/>
              </w:rPr>
              <w:t>New (this ADR)</w:t>
            </w:r>
          </w:p>
        </w:tc>
      </w:tr>
      <w:tr>
        <w:tc>
          <w:tcPr>
            <w:tcW w:type="dxa" w:w="1435"/>
            <w:shd w:val="clear" w:color="auto" w:fill="F3F4F6"/>
          </w:tcPr>
          <w:p>
            <w:pPr>
              <w:spacing w:after="40" w:before="40"/>
            </w:pPr>
            <w:r>
              <w:rPr>
                <w:rFonts w:ascii="Arial" w:hAnsi="Arial"/>
                <w:sz w:val="20"/>
              </w:rPr>
              <w:t>Hosting</w:t>
            </w:r>
          </w:p>
        </w:tc>
        <w:tc>
          <w:tcPr>
            <w:tcW w:type="dxa" w:w="2988"/>
            <w:shd w:val="clear" w:color="auto" w:fill="F3F4F6"/>
          </w:tcPr>
          <w:p>
            <w:pPr>
              <w:spacing w:after="40" w:before="40"/>
            </w:pPr>
            <w:r>
              <w:rPr>
                <w:rFonts w:ascii="Arial" w:hAnsi="Arial"/>
                <w:sz w:val="20"/>
              </w:rPr>
              <w:t>Azure App Service (Linux, B1)</w:t>
            </w:r>
          </w:p>
        </w:tc>
        <w:tc>
          <w:tcPr>
            <w:tcW w:type="dxa" w:w="4603"/>
            <w:shd w:val="clear" w:color="auto" w:fill="F3F4F6"/>
          </w:tcPr>
          <w:p>
            <w:pPr>
              <w:spacing w:after="40" w:before="40"/>
            </w:pPr>
            <w:r>
              <w:rPr>
                <w:rFonts w:ascii="Arial" w:hAnsi="Arial"/>
                <w:sz w:val="20"/>
              </w:rPr>
              <w:t>Self-hosted Linux VPS, Kestrel behind Caddy (https://caddyserver.com/) (free automatic HTTPS via Let's Encrypt)</w:t>
            </w:r>
          </w:p>
        </w:tc>
      </w:tr>
      <w:tr>
        <w:tc>
          <w:tcPr>
            <w:tcW w:type="dxa" w:w="1435"/>
            <w:shd w:val="clear" w:color="auto" w:fill="FFFFFF"/>
          </w:tcPr>
          <w:p>
            <w:pPr>
              <w:spacing w:after="40" w:before="40"/>
            </w:pPr>
            <w:r>
              <w:rPr>
                <w:rFonts w:ascii="Arial" w:hAnsi="Arial"/>
                <w:sz w:val="20"/>
              </w:rPr>
              <w:t>Database</w:t>
            </w:r>
          </w:p>
        </w:tc>
        <w:tc>
          <w:tcPr>
            <w:tcW w:type="dxa" w:w="2988"/>
            <w:shd w:val="clear" w:color="auto" w:fill="FFFFFF"/>
          </w:tcPr>
          <w:p>
            <w:pPr>
              <w:spacing w:after="40" w:before="40"/>
            </w:pPr>
            <w:r>
              <w:rPr>
                <w:rFonts w:ascii="Arial" w:hAnsi="Arial"/>
                <w:sz w:val="20"/>
              </w:rPr>
              <w:t>Azure SQL Database (Basic/S0)</w:t>
            </w:r>
          </w:p>
        </w:tc>
        <w:tc>
          <w:tcPr>
            <w:tcW w:type="dxa" w:w="4603"/>
            <w:shd w:val="clear" w:color="auto" w:fill="FFFFFF"/>
          </w:tcPr>
          <w:p>
            <w:pPr>
              <w:spacing w:after="40" w:before="40"/>
            </w:pPr>
            <w:r>
              <w:rPr>
                <w:rFonts w:ascii="Arial" w:hAnsi="Arial"/>
                <w:sz w:val="20"/>
              </w:rPr>
              <w:t>Self-hosted PostgreSQL, same VPS</w:t>
            </w:r>
          </w:p>
        </w:tc>
      </w:tr>
      <w:tr>
        <w:tc>
          <w:tcPr>
            <w:tcW w:type="dxa" w:w="1435"/>
            <w:shd w:val="clear" w:color="auto" w:fill="F3F4F6"/>
          </w:tcPr>
          <w:p>
            <w:pPr>
              <w:spacing w:after="40" w:before="40"/>
            </w:pPr>
            <w:r>
              <w:rPr>
                <w:rFonts w:ascii="Arial" w:hAnsi="Arial"/>
                <w:sz w:val="20"/>
              </w:rPr>
              <w:t>Identity</w:t>
            </w:r>
          </w:p>
        </w:tc>
        <w:tc>
          <w:tcPr>
            <w:tcW w:type="dxa" w:w="2988"/>
            <w:shd w:val="clear" w:color="auto" w:fill="F3F4F6"/>
          </w:tcPr>
          <w:p>
            <w:pPr>
              <w:spacing w:after="40" w:before="40"/>
            </w:pPr>
            <w:r>
              <w:rPr>
                <w:rFonts w:ascii="Arial" w:hAnsi="Arial"/>
                <w:sz w:val="20"/>
              </w:rPr>
              <w:t>Microsoft Entra External ID (CIAM)</w:t>
            </w:r>
          </w:p>
        </w:tc>
        <w:tc>
          <w:tcPr>
            <w:tcW w:type="dxa" w:w="4603"/>
            <w:shd w:val="clear" w:color="auto" w:fill="F3F4F6"/>
          </w:tcPr>
          <w:p>
            <w:pPr>
              <w:spacing w:after="40" w:before="40"/>
            </w:pPr>
            <w:r>
              <w:rPr>
                <w:rFonts w:ascii="Arial" w:hAnsi="Arial"/>
                <w:sz w:val="20"/>
              </w:rPr>
              <w:t>Self-rolled ASP.NET Core Identity, built-in TOTP MFA</w:t>
            </w:r>
          </w:p>
        </w:tc>
      </w:tr>
      <w:tr>
        <w:tc>
          <w:tcPr>
            <w:tcW w:type="dxa" w:w="1435"/>
            <w:shd w:val="clear" w:color="auto" w:fill="FFFFFF"/>
          </w:tcPr>
          <w:p>
            <w:pPr>
              <w:spacing w:after="40" w:before="40"/>
            </w:pPr>
            <w:r>
              <w:rPr>
                <w:rFonts w:ascii="Arial" w:hAnsi="Arial"/>
                <w:sz w:val="20"/>
              </w:rPr>
              <w:t>File storage</w:t>
            </w:r>
          </w:p>
        </w:tc>
        <w:tc>
          <w:tcPr>
            <w:tcW w:type="dxa" w:w="2988"/>
            <w:shd w:val="clear" w:color="auto" w:fill="FFFFFF"/>
          </w:tcPr>
          <w:p>
            <w:pPr>
              <w:spacing w:after="40" w:before="40"/>
            </w:pPr>
            <w:r>
              <w:rPr>
                <w:rFonts w:ascii="Arial" w:hAnsi="Arial"/>
                <w:sz w:val="20"/>
              </w:rPr>
              <w:t>Azure Blob Storage</w:t>
            </w:r>
          </w:p>
        </w:tc>
        <w:tc>
          <w:tcPr>
            <w:tcW w:type="dxa" w:w="4603"/>
            <w:shd w:val="clear" w:color="auto" w:fill="FFFFFF"/>
          </w:tcPr>
          <w:p>
            <w:pPr>
              <w:spacing w:after="40" w:before="40"/>
            </w:pPr>
            <w:r>
              <w:rPr>
                <w:rFonts w:ascii="Arial" w:hAnsi="Arial"/>
                <w:sz w:val="20"/>
              </w:rPr>
              <w:t>Local disk on the VPS, off-box backup to an S3-compatible free tier (Cloudflare R2 or Backblaze B2 — final pick at implementation time)</w:t>
            </w:r>
          </w:p>
        </w:tc>
      </w:tr>
      <w:tr>
        <w:tc>
          <w:tcPr>
            <w:tcW w:type="dxa" w:w="1435"/>
            <w:shd w:val="clear" w:color="auto" w:fill="F3F4F6"/>
          </w:tcPr>
          <w:p>
            <w:pPr>
              <w:spacing w:after="40" w:before="40"/>
            </w:pPr>
            <w:r>
              <w:rPr>
                <w:rFonts w:ascii="Arial" w:hAnsi="Arial"/>
                <w:sz w:val="20"/>
              </w:rPr>
              <w:t>Email</w:t>
            </w:r>
          </w:p>
        </w:tc>
        <w:tc>
          <w:tcPr>
            <w:tcW w:type="dxa" w:w="2988"/>
            <w:shd w:val="clear" w:color="auto" w:fill="F3F4F6"/>
          </w:tcPr>
          <w:p>
            <w:pPr>
              <w:spacing w:after="40" w:before="40"/>
            </w:pPr>
            <w:r>
              <w:rPr>
                <w:rFonts w:ascii="Arial" w:hAnsi="Arial"/>
                <w:sz w:val="20"/>
              </w:rPr>
              <w:t>Azure Communication Services Email</w:t>
            </w:r>
          </w:p>
        </w:tc>
        <w:tc>
          <w:tcPr>
            <w:tcW w:type="dxa" w:w="4603"/>
            <w:shd w:val="clear" w:color="auto" w:fill="F3F4F6"/>
          </w:tcPr>
          <w:p>
            <w:pPr>
              <w:spacing w:after="40" w:before="40"/>
            </w:pPr>
            <w:r>
              <w:rPr>
                <w:rFonts w:ascii="Arial" w:hAnsi="Arial"/>
                <w:sz w:val="20"/>
              </w:rPr>
              <w:t>SMTP — either the organisation's existing Microsoft 365 mailbox (authenticated SMTP submission) or a free-tier transactional provider (e.g. Brevo, Resend) — final pick at implementation time, whichever has a durable free allowance at this volume</w:t>
            </w:r>
          </w:p>
        </w:tc>
      </w:tr>
      <w:tr>
        <w:tc>
          <w:tcPr>
            <w:tcW w:type="dxa" w:w="1435"/>
            <w:shd w:val="clear" w:color="auto" w:fill="FFFFFF"/>
          </w:tcPr>
          <w:p>
            <w:pPr>
              <w:spacing w:after="40" w:before="40"/>
            </w:pPr>
            <w:r>
              <w:rPr>
                <w:rFonts w:ascii="Arial" w:hAnsi="Arial"/>
                <w:sz w:val="20"/>
              </w:rPr>
              <w:t>Scheduled jobs</w:t>
            </w:r>
          </w:p>
        </w:tc>
        <w:tc>
          <w:tcPr>
            <w:tcW w:type="dxa" w:w="2988"/>
            <w:shd w:val="clear" w:color="auto" w:fill="FFFFFF"/>
          </w:tcPr>
          <w:p>
            <w:pPr>
              <w:spacing w:after="40" w:before="40"/>
            </w:pPr>
            <w:r>
              <w:rPr>
                <w:rFonts w:ascii="Arial" w:hAnsi="Arial"/>
                <w:sz w:val="20"/>
              </w:rPr>
              <w:t>Azure App Service WebJob (adr/0003)</w:t>
            </w:r>
          </w:p>
        </w:tc>
        <w:tc>
          <w:tcPr>
            <w:tcW w:type="dxa" w:w="4603"/>
            <w:shd w:val="clear" w:color="auto" w:fill="FFFFFF"/>
          </w:tcPr>
          <w:p>
            <w:pPr>
              <w:spacing w:after="40" w:before="40"/>
            </w:pPr>
            <w:r>
              <w:rPr>
                <w:rFonts w:ascii="Arial" w:hAnsi="Arial"/>
                <w:sz w:val="20"/>
              </w:rPr>
              <w:t>systemd timer / cron on the same VPS, invoking the existing Vlms.Jobs console app unchanged — amends where it runs, not adr/0003's "plain console app, not a scheduler SDK" reasoning</w:t>
            </w:r>
          </w:p>
        </w:tc>
      </w:tr>
    </w:tbl>
    <w:p>
      <w:pPr>
        <w:spacing w:after="80"/>
      </w:pPr>
    </w:p>
    <w:p>
      <w:pPr>
        <w:spacing w:after="80"/>
      </w:pPr>
      <w:r>
        <w:rPr>
          <w:rFonts w:ascii="Arial" w:hAnsi="Arial"/>
          <w:b/>
          <w:sz w:val="22"/>
        </w:rPr>
        <w:t>Unchanged from ADR-0001:</w:t>
      </w:r>
      <w:r>
        <w:rPr>
          <w:rFonts w:ascii="Arial" w:hAnsi="Arial"/>
          <w:sz w:val="22"/>
        </w:rPr>
        <w:t xml:space="preserve"> Client (Blazor Web App, Server interactivity) and PDF generation (QuestPDF).</w:t>
      </w:r>
    </w:p>
    <w:p>
      <w:pPr>
        <w:spacing w:after="80"/>
      </w:pPr>
      <w:r>
        <w:rPr>
          <w:rFonts w:ascii="Arial" w:hAnsi="Arial"/>
          <w:sz w:val="22"/>
        </w:rPr>
        <w:t xml:space="preserve">Database backup: </w:t>
      </w:r>
      <w:r>
        <w:rPr>
          <w:rFonts w:ascii="Consolas" w:hAnsi="Consolas"/>
          <w:rFonts w:ascii="Consolas" w:hAnsi="Consolas"/>
          <w:sz w:val="20"/>
        </w:rPr>
        <w:t>pg_dump</w:t>
      </w:r>
      <w:r>
        <w:rPr>
          <w:rFonts w:ascii="Arial" w:hAnsi="Arial"/>
          <w:sz w:val="22"/>
        </w:rPr>
        <w:t xml:space="preserve"> on a cron schedule, shipped to the same off-box object storage as file backups. TLS/cert renewal is handled automatically by Caddy.</w:t>
      </w:r>
    </w:p>
    <w:p>
      <w:pPr>
        <w:keepNext/>
        <w:spacing w:before="200" w:after="80"/>
        <w:outlineLvl w:val="1"/>
      </w:pPr>
      <w:r>
        <w:rPr>
          <w:rFonts w:ascii="Arial" w:hAnsi="Arial"/>
          <w:b/>
          <w:color w:val="1F2937"/>
          <w:sz w:val="26"/>
        </w:rPr>
        <w:t>Alternatives considered</w:t>
      </w:r>
    </w:p>
    <w:p>
      <w:pPr>
        <w:spacing w:after="40"/>
        <w:ind w:left="620" w:hanging="260"/>
      </w:pPr>
      <w:r>
        <w:rPr>
          <w:rFonts w:ascii="Arial" w:hAnsi="Arial"/>
          <w:sz w:val="22"/>
        </w:rPr>
        <w:t xml:space="preserve">•  </w:t>
      </w:r>
      <w:r>
        <w:rPr>
          <w:rFonts w:ascii="Arial" w:hAnsi="Arial"/>
          <w:b/>
          <w:sz w:val="22"/>
        </w:rPr>
        <w:t>Keep Azure as designed, grant-funded</w:t>
      </w:r>
      <w:r>
        <w:rPr>
          <w:rFonts w:ascii="Arial" w:hAnsi="Arial"/>
          <w:sz w:val="22"/>
        </w:rPr>
        <w:t xml:space="preserve"> — rejected: no active Azure nonprofit credit grant exists for this organisation (confirmed by the owner); self-funding ~$18–30/month forever for a charity is not justified when Option C below is materially cheaper and equally compliant.</w:t>
      </w:r>
    </w:p>
    <w:p>
      <w:pPr>
        <w:spacing w:after="40"/>
        <w:ind w:left="620" w:hanging="260"/>
      </w:pPr>
      <w:r>
        <w:rPr>
          <w:rFonts w:ascii="Arial" w:hAnsi="Arial"/>
          <w:sz w:val="22"/>
        </w:rPr>
        <w:t xml:space="preserve">•  </w:t>
      </w:r>
      <w:r>
        <w:rPr>
          <w:rFonts w:ascii="Arial" w:hAnsi="Arial"/>
          <w:b/>
          <w:sz w:val="22"/>
        </w:rPr>
        <w:t>Self-hosted VPS + SQLite</w:t>
      </w:r>
      <w:r>
        <w:rPr>
          <w:rFonts w:ascii="Arial" w:hAnsi="Arial"/>
          <w:sz w:val="22"/>
        </w:rPr>
        <w:t xml:space="preserve"> (</w:t>
      </w:r>
      <w:r>
        <w:rPr>
          <w:rFonts w:ascii="Consolas" w:hAnsi="Consolas"/>
          <w:rFonts w:ascii="Consolas" w:hAnsi="Consolas"/>
          <w:sz w:val="20"/>
        </w:rPr>
        <w:t>hosting-cost-review-2026-07-20.md</w:t>
      </w:r>
      <w:r>
        <w:rPr>
          <w:rFonts w:ascii="Arial" w:hAnsi="Arial"/>
          <w:sz w:val="22"/>
        </w:rPr>
        <w:t xml:space="preserve"> Option B) — rejected: SQLite has no database-level user/permission model at all, so it cannot satisfy </w:t>
      </w:r>
      <w:r>
        <w:rPr>
          <w:rFonts w:ascii="Consolas" w:hAnsi="Consolas"/>
          <w:rFonts w:ascii="Consolas" w:hAnsi="Consolas"/>
          <w:sz w:val="20"/>
        </w:rPr>
        <w:t>adr/0004</w:t>
      </w:r>
      <w:r>
        <w:rPr>
          <w:rFonts w:ascii="Arial" w:hAnsi="Arial"/>
          <w:sz w:val="22"/>
        </w:rPr>
        <w:t xml:space="preserve"> §4's "tamper protection at the database permission level, not an application convention" requirement without inventing an untested compensating control. PostgreSQL provides the direct equivalent (</w:t>
      </w:r>
      <w:r>
        <w:rPr>
          <w:rFonts w:ascii="Consolas" w:hAnsi="Consolas"/>
          <w:rFonts w:ascii="Consolas" w:hAnsi="Consolas"/>
          <w:sz w:val="20"/>
        </w:rPr>
        <w:t>REVOKE ... FROM PUBLIC</w:t>
      </w:r>
      <w:r>
        <w:rPr>
          <w:rFonts w:ascii="Arial" w:hAnsi="Arial"/>
          <w:sz w:val="22"/>
        </w:rPr>
        <w:t>) at the same (zero) marginal cost, so there is no cost reason to accept the weaker option.</w:t>
      </w:r>
    </w:p>
    <w:p>
      <w:pPr>
        <w:spacing w:after="40"/>
        <w:ind w:left="620" w:hanging="260"/>
      </w:pPr>
      <w:r>
        <w:rPr>
          <w:rFonts w:ascii="Arial" w:hAnsi="Arial"/>
          <w:sz w:val="22"/>
        </w:rPr>
        <w:t xml:space="preserve">•  </w:t>
      </w:r>
      <w:r>
        <w:rPr>
          <w:rFonts w:ascii="Arial" w:hAnsi="Arial"/>
          <w:b/>
          <w:sz w:val="22"/>
        </w:rPr>
        <w:t>Managed PostgreSQL add-on</w:t>
      </w:r>
      <w:r>
        <w:rPr>
          <w:rFonts w:ascii="Arial" w:hAnsi="Arial"/>
          <w:sz w:val="22"/>
        </w:rPr>
        <w:t xml:space="preserve"> (e.g. a $15/month DigitalOcean Managed Database) — rejected: roughly triples this option's cost for automated backup/failover that a cron </w:t>
      </w:r>
      <w:r>
        <w:rPr>
          <w:rFonts w:ascii="Consolas" w:hAnsi="Consolas"/>
          <w:rFonts w:ascii="Consolas" w:hAnsi="Consolas"/>
          <w:sz w:val="20"/>
        </w:rPr>
        <w:t>pg_dump</w:t>
      </w:r>
      <w:r>
        <w:rPr>
          <w:rFonts w:ascii="Arial" w:hAnsi="Arial"/>
          <w:sz w:val="22"/>
        </w:rPr>
        <w:t xml:space="preserve"> to free-tier object storage already provides at this data volume; not justified at tens-of-users scale.</w:t>
      </w:r>
    </w:p>
    <w:p>
      <w:pPr>
        <w:keepNext/>
        <w:spacing w:before="200" w:after="80"/>
        <w:outlineLvl w:val="1"/>
      </w:pPr>
      <w:r>
        <w:rPr>
          <w:rFonts w:ascii="Arial" w:hAnsi="Arial"/>
          <w:b/>
          <w:color w:val="1F2937"/>
          <w:sz w:val="26"/>
        </w:rPr>
        <w:t>Consequences</w:t>
      </w:r>
    </w:p>
    <w:p>
      <w:pPr>
        <w:spacing w:after="40"/>
        <w:ind w:left="620" w:hanging="260"/>
      </w:pPr>
      <w:r>
        <w:rPr>
          <w:rFonts w:ascii="Arial" w:hAnsi="Arial"/>
          <w:sz w:val="22"/>
        </w:rPr>
        <w:t xml:space="preserve">•  </w:t>
      </w:r>
      <w:r>
        <w:rPr>
          <w:rFonts w:ascii="Arial" w:hAnsi="Arial"/>
          <w:b/>
          <w:sz w:val="22"/>
        </w:rPr>
        <w:t>`adr/0001-technology-stack.md`</w:t>
      </w:r>
      <w:r>
        <w:rPr>
          <w:rFonts w:ascii="Arial" w:hAnsi="Arial"/>
          <w:sz w:val="22"/>
        </w:rPr>
        <w:t xml:space="preserve"> is now partially superseded — its Status line is updated to point here. The client and PDF rows remain in effect unchanged.</w:t>
      </w:r>
    </w:p>
    <w:p>
      <w:pPr>
        <w:spacing w:after="40"/>
        <w:ind w:left="620" w:hanging="260"/>
      </w:pPr>
      <w:r>
        <w:rPr>
          <w:rFonts w:ascii="Arial" w:hAnsi="Arial"/>
          <w:sz w:val="22"/>
        </w:rPr>
        <w:t xml:space="preserve">•  </w:t>
      </w:r>
      <w:r>
        <w:rPr>
          <w:rFonts w:ascii="Arial" w:hAnsi="Arial"/>
          <w:b/>
          <w:sz w:val="22"/>
        </w:rPr>
        <w:t>`adr/0003-scheduled-jobs-webjobs.md`</w:t>
      </w:r>
      <w:r>
        <w:rPr>
          <w:rFonts w:ascii="Arial" w:hAnsi="Arial"/>
          <w:sz w:val="22"/>
        </w:rPr>
        <w:t xml:space="preserve"> is amended, not superseded — </w:t>
      </w:r>
      <w:r>
        <w:rPr>
          <w:rFonts w:ascii="Consolas" w:hAnsi="Consolas"/>
          <w:rFonts w:ascii="Consolas" w:hAnsi="Consolas"/>
          <w:sz w:val="20"/>
        </w:rPr>
        <w:t>Vlms.Jobs</w:t>
      </w:r>
      <w:r>
        <w:rPr>
          <w:rFonts w:ascii="Arial" w:hAnsi="Arial"/>
          <w:sz w:val="22"/>
        </w:rPr>
        <w:t xml:space="preserve"> remains a plain console app; only its trigger mechanism changes from the Azure WebJobs folder convention to a systemd timer.</w:t>
      </w:r>
    </w:p>
    <w:p>
      <w:pPr>
        <w:spacing w:after="40"/>
        <w:ind w:left="620" w:hanging="260"/>
      </w:pPr>
      <w:r>
        <w:rPr>
          <w:rFonts w:ascii="Arial" w:hAnsi="Arial"/>
          <w:sz w:val="22"/>
        </w:rPr>
        <w:t xml:space="preserve">•  </w:t>
      </w:r>
      <w:r>
        <w:rPr>
          <w:rFonts w:ascii="Arial" w:hAnsi="Arial"/>
          <w:b/>
          <w:sz w:val="22"/>
        </w:rPr>
        <w:t>`adr/0004-sensitive-data-access-control.md` §4's mechanism must be re-implemented for PostgreSQL.</w:t>
      </w:r>
      <w:r>
        <w:rPr>
          <w:rFonts w:ascii="Arial" w:hAnsi="Arial"/>
          <w:sz w:val="22"/>
        </w:rPr>
        <w:t xml:space="preserve"> The structural design (EF Core global query filters restricting </w:t>
      </w:r>
      <w:r>
        <w:rPr>
          <w:rFonts w:ascii="Consolas" w:hAnsi="Consolas"/>
          <w:rFonts w:ascii="Consolas" w:hAnsi="Consolas"/>
          <w:sz w:val="20"/>
        </w:rPr>
        <w:t>DbsCheck</w:t>
      </w:r>
      <w:r>
        <w:rPr>
          <w:rFonts w:ascii="Arial" w:hAnsi="Arial"/>
          <w:sz w:val="22"/>
        </w:rPr>
        <w:t>/</w:t>
      </w:r>
      <w:r>
        <w:rPr>
          <w:rFonts w:ascii="Consolas" w:hAnsi="Consolas"/>
          <w:rFonts w:ascii="Consolas" w:hAnsi="Consolas"/>
          <w:sz w:val="20"/>
        </w:rPr>
        <w:t>ConsentSensitiveDetails</w:t>
      </w:r>
      <w:r>
        <w:rPr>
          <w:rFonts w:ascii="Arial" w:hAnsi="Arial"/>
          <w:sz w:val="22"/>
        </w:rPr>
        <w:t xml:space="preserve">, the </w:t>
      </w:r>
      <w:r>
        <w:rPr>
          <w:rFonts w:ascii="Consolas" w:hAnsi="Consolas"/>
          <w:rFonts w:ascii="Consolas" w:hAnsi="Consolas"/>
          <w:sz w:val="20"/>
        </w:rPr>
        <w:t>IMaterializationInterceptor</w:t>
      </w:r>
      <w:r>
        <w:rPr>
          <w:rFonts w:ascii="Arial" w:hAnsi="Arial"/>
          <w:sz w:val="22"/>
        </w:rPr>
        <w:t xml:space="preserve"> read-audit trail) is a Domain/EF Core concern and is </w:t>
      </w:r>
      <w:r>
        <w:rPr>
          <w:rFonts w:ascii="Arial" w:hAnsi="Arial"/>
          <w:b/>
          <w:sz w:val="22"/>
        </w:rPr>
        <w:t>provider-independent — it does not change.</w:t>
      </w:r>
      <w:r>
        <w:rPr>
          <w:rFonts w:ascii="Arial" w:hAnsi="Arial"/>
          <w:sz w:val="22"/>
        </w:rPr>
        <w:t xml:space="preserve"> Only the database-level tamper-protection DDL changes dialect: </w:t>
      </w:r>
      <w:r>
        <w:rPr>
          <w:rFonts w:ascii="Consolas" w:hAnsi="Consolas"/>
          <w:rFonts w:ascii="Consolas" w:hAnsi="Consolas"/>
          <w:sz w:val="20"/>
        </w:rPr>
        <w:t>DENY UPDATE, DELETE ON dbo.SensitiveDataAccessLogs TO public</w:t>
      </w:r>
      <w:r>
        <w:rPr>
          <w:rFonts w:ascii="Arial" w:hAnsi="Arial"/>
          <w:sz w:val="22"/>
        </w:rPr>
        <w:t xml:space="preserve"> (SQL Server) becomes </w:t>
      </w:r>
      <w:r>
        <w:rPr>
          <w:rFonts w:ascii="Consolas" w:hAnsi="Consolas"/>
          <w:rFonts w:ascii="Consolas" w:hAnsi="Consolas"/>
          <w:sz w:val="20"/>
        </w:rPr>
        <w:t>REVOKE UPDATE, DELETE ON sensitive_data_access_log FROM PUBLIC</w:t>
      </w:r>
      <w:r>
        <w:rPr>
          <w:rFonts w:ascii="Arial" w:hAnsi="Arial"/>
          <w:sz w:val="22"/>
        </w:rPr>
        <w:t xml:space="preserve"> (PostgreSQL) — the same structural guarantee, ported not redesigned. This is tracked as an implementation item, not decided further here.</w:t>
      </w:r>
    </w:p>
    <w:p>
      <w:pPr>
        <w:spacing w:after="40"/>
        <w:ind w:left="620" w:hanging="260"/>
      </w:pPr>
      <w:r>
        <w:rPr>
          <w:rFonts w:ascii="Arial" w:hAnsi="Arial"/>
          <w:sz w:val="22"/>
        </w:rPr>
        <w:t xml:space="preserve">•  </w:t>
      </w:r>
      <w:r>
        <w:rPr>
          <w:rFonts w:ascii="Arial" w:hAnsi="Arial"/>
          <w:b/>
          <w:sz w:val="22"/>
        </w:rPr>
        <w:t>`governance/raid.md` D-002</w:t>
      </w:r>
      <w:r>
        <w:rPr>
          <w:rFonts w:ascii="Arial" w:hAnsi="Arial"/>
          <w:sz w:val="22"/>
        </w:rPr>
        <w:t xml:space="preserve"> (email provider/verified sending domain) and </w:t>
      </w:r>
      <w:r>
        <w:rPr>
          <w:rFonts w:ascii="Arial" w:hAnsi="Arial"/>
          <w:b/>
          <w:sz w:val="22"/>
        </w:rPr>
        <w:t>D-004</w:t>
      </w:r>
      <w:r>
        <w:rPr>
          <w:rFonts w:ascii="Arial" w:hAnsi="Arial"/>
          <w:sz w:val="22"/>
        </w:rPr>
        <w:t xml:space="preserve"> (least-privilege database connection identity) both need rewording to be provider-generic — tracked as a documentation follow-up alongside the code change, not decided further here.</w:t>
      </w:r>
    </w:p>
    <w:p>
      <w:pPr>
        <w:spacing w:after="40"/>
        <w:ind w:left="620" w:hanging="260"/>
      </w:pPr>
      <w:r>
        <w:rPr>
          <w:rFonts w:ascii="Arial" w:hAnsi="Arial"/>
          <w:sz w:val="22"/>
        </w:rPr>
        <w:t xml:space="preserve">•  </w:t>
      </w:r>
      <w:r>
        <w:rPr>
          <w:rFonts w:ascii="Arial" w:hAnsi="Arial"/>
          <w:b/>
          <w:sz w:val="22"/>
        </w:rPr>
        <w:t>The Microsoft Graph guardian-invitation blocker</w:t>
      </w:r>
      <w:r>
        <w:rPr>
          <w:rFonts w:ascii="Arial" w:hAnsi="Arial"/>
          <w:sz w:val="22"/>
        </w:rPr>
        <w:t xml:space="preserve"> (</w:t>
      </w:r>
      <w:r>
        <w:rPr>
          <w:rFonts w:ascii="Consolas" w:hAnsi="Consolas"/>
          <w:rFonts w:ascii="Consolas" w:hAnsi="Consolas"/>
          <w:sz w:val="20"/>
        </w:rPr>
        <w:t>STATE.md</w:t>
      </w:r>
      <w:r>
        <w:rPr>
          <w:rFonts w:ascii="Arial" w:hAnsi="Arial"/>
          <w:sz w:val="22"/>
        </w:rPr>
        <w:t xml:space="preserve"> "Blocked / needs decision" — blocked on a live external Entra tenant) is </w:t>
      </w:r>
      <w:r>
        <w:rPr>
          <w:rFonts w:ascii="Arial" w:hAnsi="Arial"/>
          <w:b/>
          <w:sz w:val="22"/>
        </w:rPr>
        <w:t>retired, not merely unblocked</w:t>
      </w:r>
      <w:r>
        <w:rPr>
          <w:rFonts w:ascii="Arial" w:hAnsi="Arial"/>
          <w:sz w:val="22"/>
        </w:rPr>
        <w:t xml:space="preserve">: a self-rolled Identity invite flow (an emailed, signed, single-use token link scoped to the correct </w:t>
      </w:r>
      <w:r>
        <w:rPr>
          <w:rFonts w:ascii="Consolas" w:hAnsi="Consolas"/>
          <w:rFonts w:ascii="Consolas" w:hAnsi="Consolas"/>
          <w:sz w:val="20"/>
        </w:rPr>
        <w:t>Student</w:t>
      </w:r>
      <w:r>
        <w:rPr>
          <w:rFonts w:ascii="Arial" w:hAnsi="Arial"/>
          <w:sz w:val="22"/>
        </w:rPr>
        <w:t xml:space="preserve"> record) satisfies </w:t>
      </w:r>
      <w:r>
        <w:rPr>
          <w:rFonts w:ascii="Consolas" w:hAnsi="Consolas"/>
          <w:rFonts w:ascii="Consolas" w:hAnsi="Consolas"/>
          <w:sz w:val="20"/>
        </w:rPr>
        <w:t>design/data-design.md</w:t>
      </w:r>
      <w:r>
        <w:rPr>
          <w:rFonts w:ascii="Arial" w:hAnsi="Arial"/>
          <w:sz w:val="22"/>
        </w:rPr>
        <w:t>'s "guardian link verification" requirement without any tenant or Graph dependency at all.</w:t>
      </w:r>
    </w:p>
    <w:p>
      <w:pPr>
        <w:spacing w:after="40"/>
        <w:ind w:left="620" w:hanging="260"/>
      </w:pPr>
      <w:r>
        <w:rPr>
          <w:rFonts w:ascii="Arial" w:hAnsi="Arial"/>
          <w:sz w:val="22"/>
        </w:rPr>
        <w:t xml:space="preserve">•  </w:t>
      </w:r>
      <w:r>
        <w:rPr>
          <w:rFonts w:ascii="Arial" w:hAnsi="Arial"/>
          <w:b/>
          <w:sz w:val="22"/>
        </w:rPr>
        <w:t>Genuine new operational burden, named rather than hidden:</w:t>
      </w:r>
      <w:r>
        <w:rPr>
          <w:rFonts w:ascii="Arial" w:hAnsi="Arial"/>
          <w:sz w:val="22"/>
        </w:rPr>
        <w:t xml:space="preserve"> OS security patching, systemd unit maintenance, PostgreSQL backup verification (a backup that has never been test-restored is not a backup), and TLS renewal monitoring are all now owner-carried — there is no managed platform absorbing this the way Azure App Service did. </w:t>
      </w:r>
      <w:r>
        <w:rPr>
          <w:rFonts w:ascii="Consolas" w:hAnsi="Consolas"/>
          <w:rFonts w:ascii="Consolas" w:hAnsi="Consolas"/>
          <w:sz w:val="20"/>
        </w:rPr>
        <w:t>governance/raid.md</w:t>
      </w:r>
      <w:r>
        <w:rPr>
          <w:rFonts w:ascii="Arial" w:hAnsi="Arial"/>
          <w:sz w:val="22"/>
        </w:rPr>
        <w:t xml:space="preserve"> R-002 (solo-maintainer bus-factor risk) is unchanged in kind but now has no vendor SLA underneath it.</w:t>
      </w:r>
    </w:p>
    <w:p>
      <w:pPr>
        <w:spacing w:after="40"/>
        <w:ind w:left="620" w:hanging="260"/>
      </w:pPr>
      <w:r>
        <w:rPr>
          <w:rFonts w:ascii="Arial" w:hAnsi="Arial"/>
          <w:sz w:val="22"/>
        </w:rPr>
        <w:t xml:space="preserve">•  </w:t>
      </w:r>
      <w:r>
        <w:rPr>
          <w:rFonts w:ascii="Arial" w:hAnsi="Arial"/>
          <w:b/>
          <w:sz w:val="22"/>
        </w:rPr>
        <w:t>VPS provisioning itself (account creation, payment method, provider/region choice) is a real-world action with a real (if small) cost and is not to be taken unilaterally</w:t>
      </w:r>
      <w:r>
        <w:rPr>
          <w:rFonts w:ascii="Arial" w:hAnsi="Arial"/>
          <w:sz w:val="22"/>
        </w:rPr>
        <w:t xml:space="preserve"> — it requires the owner's explicit go-ahead before any account is created or resource is provisioned, separately from the code-level implementation work this ADR authorises.</w:t>
      </w:r>
    </w:p>
    <w:p>
      <w:pPr>
        <w:spacing w:after="40"/>
        <w:ind w:left="620" w:hanging="260"/>
      </w:pPr>
      <w:r>
        <w:rPr>
          <w:rFonts w:ascii="Arial" w:hAnsi="Arial"/>
          <w:sz w:val="22"/>
        </w:rPr>
        <w:t xml:space="preserve">•  </w:t>
      </w:r>
      <w:r>
        <w:rPr>
          <w:rFonts w:ascii="Arial" w:hAnsi="Arial"/>
          <w:sz w:val="22"/>
        </w:rPr>
        <w:t>Test suite implication (tracked as an implementation item, not decided further here): the existing SQLite-in-memory-via-DI test pattern (</w:t>
      </w:r>
      <w:r>
        <w:rPr>
          <w:rFonts w:ascii="Consolas" w:hAnsi="Consolas"/>
          <w:rFonts w:ascii="Consolas" w:hAnsi="Consolas"/>
          <w:sz w:val="20"/>
        </w:rPr>
        <w:t>tests/Vlms.Tests/</w:t>
      </w:r>
      <w:r>
        <w:rPr>
          <w:rFonts w:ascii="Arial" w:hAnsi="Arial"/>
          <w:sz w:val="22"/>
        </w:rPr>
        <w:t>) was always a test double, not the production engine, even before this ADR — whether to keep it as-is or move to a real PostgreSQL instance in tests (e.g. via Testcontainers) so the tamper-protection DDL and Postgres-specific behaviour are actually exercised is an open implementation decision.</w:t>
      </w:r>
    </w:p>
    <w:p>
      <w:pPr>
        <w:keepNext/>
        <w:spacing w:before="200" w:after="80"/>
        <w:outlineLvl w:val="1"/>
      </w:pPr>
      <w:r>
        <w:rPr>
          <w:rFonts w:ascii="Arial" w:hAnsi="Arial"/>
          <w:b/>
          <w:color w:val="1F2937"/>
          <w:sz w:val="26"/>
        </w:rPr>
        <w:t>Amendment — VPS provider chosen (12/10/2026)</w:t>
      </w:r>
    </w:p>
    <w:p>
      <w:pPr>
        <w:spacing w:after="80"/>
      </w:pPr>
      <w:r>
        <w:rPr>
          <w:rFonts w:ascii="Arial" w:hAnsi="Arial"/>
          <w:sz w:val="22"/>
        </w:rPr>
        <w:t xml:space="preserve">Philip chose </w:t>
      </w:r>
      <w:r>
        <w:rPr>
          <w:rFonts w:ascii="Arial" w:hAnsi="Arial"/>
          <w:b/>
          <w:sz w:val="22"/>
        </w:rPr>
        <w:t>DigitalOcean, London region (LON1)</w:t>
      </w:r>
      <w:r>
        <w:rPr>
          <w:rFonts w:ascii="Arial" w:hAnsi="Arial"/>
          <w:sz w:val="22"/>
        </w:rPr>
        <w:t xml:space="preserve">, the UK-resident option in </w:t>
      </w:r>
      <w:r>
        <w:rPr>
          <w:rFonts w:ascii="Consolas" w:hAnsi="Consolas"/>
          <w:rFonts w:ascii="Consolas" w:hAnsi="Consolas"/>
          <w:sz w:val="20"/>
        </w:rPr>
        <w:t>hosting-cost-review-2026-07-20.md</w:t>
      </w:r>
      <w:r>
        <w:rPr>
          <w:rFonts w:ascii="Arial" w:hAnsi="Arial"/>
          <w:sz w:val="22"/>
        </w:rPr>
        <w:t xml:space="preserve"> §4.2. This removes the data-residency question for the church. Also decided by Philip 12/10/2026: the app is served at </w:t>
      </w:r>
      <w:r>
        <w:rPr>
          <w:rFonts w:ascii="Arial" w:hAnsi="Arial"/>
          <w:b/>
          <w:sz w:val="22"/>
        </w:rPr>
        <w:t>www.varangians.co.uk</w:t>
      </w:r>
      <w:r>
        <w:rPr>
          <w:rFonts w:ascii="Arial" w:hAnsi="Arial"/>
          <w:sz w:val="22"/>
        </w:rPr>
        <w:t xml:space="preserve">, a domain dedicated to the youth club and not used for anything else (the church has its own separate address; Philip controls the domain's DNS; registered with Hostinger, DNS only — no Hostinger web hosting, the Droplet is the host), and off-box backups go to </w:t>
      </w:r>
      <w:r>
        <w:rPr>
          <w:rFonts w:ascii="Arial" w:hAnsi="Arial"/>
          <w:b/>
          <w:sz w:val="22"/>
        </w:rPr>
        <w:t>Cloudflare R2</w:t>
      </w:r>
      <w:r>
        <w:rPr>
          <w:rFonts w:ascii="Arial" w:hAnsi="Arial"/>
          <w:sz w:val="22"/>
        </w:rPr>
        <w:t xml:space="preserve"> (S3-compatible; </w:t>
      </w:r>
      <w:r>
        <w:rPr>
          <w:rFonts w:ascii="Consolas" w:hAnsi="Consolas"/>
          <w:rFonts w:ascii="Consolas" w:hAnsi="Consolas"/>
          <w:sz w:val="20"/>
        </w:rPr>
        <w:t>AWS_DEFAULT_REGION=auto</w:t>
      </w:r>
      <w:r>
        <w:rPr>
          <w:rFonts w:ascii="Arial" w:hAnsi="Arial"/>
          <w:sz w:val="22"/>
        </w:rPr>
        <w:t xml:space="preserve">, per </w:t>
      </w:r>
      <w:r>
        <w:rPr>
          <w:rFonts w:ascii="Consolas" w:hAnsi="Consolas"/>
          <w:rFonts w:ascii="Consolas" w:hAnsi="Consolas"/>
          <w:sz w:val="20"/>
        </w:rPr>
        <w:t>deploy/backup/pg-backup.sh</w:t>
      </w:r>
      <w:r>
        <w:rPr>
          <w:rFonts w:ascii="Arial" w:hAnsi="Arial"/>
          <w:sz w:val="22"/>
        </w:rPr>
        <w:t>). No account or resource has been created; provisioning still needs Philip's explicit go-ahead.</w:t>
      </w:r>
    </w:p>
    <w:p>
      <w:pPr>
        <w:spacing w:after="80"/>
      </w:pPr>
      <w:r>
        <w:rPr>
          <w:rFonts w:ascii="Arial" w:hAnsi="Arial"/>
          <w:b/>
          <w:sz w:val="22"/>
        </w:rPr>
        <w:t>Email domain — Philip, 12/10/2026:</w:t>
      </w:r>
      <w:r>
        <w:rPr>
          <w:rFonts w:ascii="Arial" w:hAnsi="Arial"/>
          <w:sz w:val="22"/>
        </w:rPr>
        <w:t xml:space="preserve"> </w:t>
      </w:r>
      <w:r>
        <w:rPr>
          <w:rFonts w:ascii="Consolas" w:hAnsi="Consolas"/>
          <w:rFonts w:ascii="Consolas" w:hAnsi="Consolas"/>
          <w:sz w:val="20"/>
        </w:rPr>
        <w:t>varangians.co.uk</w:t>
      </w:r>
      <w:r>
        <w:rPr>
          <w:rFonts w:ascii="Arial" w:hAnsi="Arial"/>
          <w:sz w:val="22"/>
        </w:rPr>
        <w:t xml:space="preserve"> is added to the church's Microsoft 365 tenant (MX, SPF, DKIM live; DMARC </w:t>
      </w:r>
      <w:r>
        <w:rPr>
          <w:rFonts w:ascii="Consolas" w:hAnsi="Consolas"/>
          <w:rFonts w:ascii="Consolas" w:hAnsi="Consolas"/>
          <w:sz w:val="20"/>
        </w:rPr>
        <w:t>p=none</w:t>
      </w:r>
      <w:r>
        <w:rPr>
          <w:rFonts w:ascii="Arial" w:hAnsi="Arial"/>
          <w:sz w:val="22"/>
        </w:rPr>
        <w:t xml:space="preserve"> with reports to </w:t>
      </w:r>
      <w:r>
        <w:rPr>
          <w:rFonts w:ascii="Consolas" w:hAnsi="Consolas"/>
          <w:rFonts w:ascii="Consolas" w:hAnsi="Consolas"/>
          <w:sz w:val="20"/>
        </w:rPr>
        <w:t>dmarc@varangians.co.uk</w:t>
      </w:r>
      <w:r>
        <w:rPr>
          <w:rFonts w:ascii="Arial" w:hAnsi="Arial"/>
          <w:sz w:val="22"/>
        </w:rPr>
        <w:t xml:space="preserve">, an alias on Philip's mailbox — tighten to </w:t>
      </w:r>
      <w:r>
        <w:rPr>
          <w:rFonts w:ascii="Consolas" w:hAnsi="Consolas"/>
          <w:rFonts w:ascii="Consolas" w:hAnsi="Consolas"/>
          <w:sz w:val="20"/>
        </w:rPr>
        <w:t>p=quarantine</w:t>
      </w:r>
      <w:r>
        <w:rPr>
          <w:rFonts w:ascii="Arial" w:hAnsi="Arial"/>
          <w:sz w:val="22"/>
        </w:rPr>
        <w:t xml:space="preserve"> once reports show clean mail). The app will send from the shared mailbox </w:t>
      </w:r>
      <w:r>
        <w:rPr>
          <w:rFonts w:ascii="Consolas" w:hAnsi="Consolas"/>
          <w:rFonts w:ascii="Consolas" w:hAnsi="Consolas"/>
          <w:sz w:val="20"/>
        </w:rPr>
        <w:t>noreply@varangians.co.uk</w:t>
      </w:r>
      <w:r>
        <w:rPr>
          <w:rFonts w:ascii="Arial" w:hAnsi="Arial"/>
          <w:sz w:val="22"/>
        </w:rPr>
        <w:t xml:space="preserve">. Teachers will also have </w:t>
      </w:r>
      <w:r>
        <w:rPr>
          <w:rFonts w:ascii="Consolas" w:hAnsi="Consolas"/>
          <w:rFonts w:ascii="Consolas" w:hAnsi="Consolas"/>
          <w:sz w:val="20"/>
        </w:rPr>
        <w:t>@varangians.co.uk</w:t>
      </w:r>
      <w:r>
        <w:rPr>
          <w:rFonts w:ascii="Arial" w:hAnsi="Arial"/>
          <w:sz w:val="22"/>
        </w:rPr>
        <w:t xml:space="preserve"> mailboxes, so the app's send permission must be scoped to that one mailbox by identity, never to the whole domain. </w:t>
      </w:r>
      <w:r>
        <w:rPr>
          <w:rFonts w:ascii="Arial" w:hAnsi="Arial"/>
          <w:b/>
          <w:sz w:val="22"/>
        </w:rPr>
        <w:t>Sending mechanism — Philip, 12/10/2026: Microsoft Graph `sendMail`, app-only, scoped by Exchange RBAC for Applications.</w:t>
      </w:r>
      <w:r>
        <w:rPr>
          <w:rFonts w:ascii="Arial" w:hAnsi="Arial"/>
          <w:sz w:val="22"/>
        </w:rPr>
        <w:t xml:space="preserve"> This replaces the "SMTP" row's means, not its need: SMTP basic auth to Microsoft 365 is being retired, and app-only SMTP would also need SMTP AUTH enabled (blocked by security defaults). Set up in the church tenant (</w:t>
      </w:r>
      <w:r>
        <w:rPr>
          <w:rFonts w:ascii="Consolas" w:hAnsi="Consolas"/>
          <w:rFonts w:ascii="Consolas" w:hAnsi="Consolas"/>
          <w:sz w:val="20"/>
        </w:rPr>
        <w:t>9abc26d2-cda5-428d-a8ad-ccfbb0788b9a</w:t>
      </w:r>
      <w:r>
        <w:rPr>
          <w:rFonts w:ascii="Arial" w:hAnsi="Arial"/>
          <w:sz w:val="22"/>
        </w:rPr>
        <w:t>) on 12/10/2026:</w:t>
      </w:r>
    </w:p>
    <w:p>
      <w:pPr>
        <w:spacing w:after="40"/>
        <w:ind w:left="620" w:hanging="260"/>
      </w:pPr>
      <w:r>
        <w:rPr>
          <w:rFonts w:ascii="Arial" w:hAnsi="Arial"/>
          <w:sz w:val="22"/>
        </w:rPr>
        <w:t xml:space="preserve">•  </w:t>
      </w:r>
      <w:r>
        <w:rPr>
          <w:rFonts w:ascii="Arial" w:hAnsi="Arial"/>
          <w:sz w:val="22"/>
        </w:rPr>
        <w:t xml:space="preserve">Entra app "Varangians LMS mailer", single-tenant, app ID </w:t>
      </w:r>
      <w:r>
        <w:rPr>
          <w:rFonts w:ascii="Consolas" w:hAnsi="Consolas"/>
          <w:rFonts w:ascii="Consolas" w:hAnsi="Consolas"/>
          <w:sz w:val="20"/>
        </w:rPr>
        <w:t>e74439c2-2ada-4204-83b9-d0e686b8675f</w:t>
      </w:r>
      <w:r>
        <w:rPr>
          <w:rFonts w:ascii="Arial" w:hAnsi="Arial"/>
          <w:sz w:val="22"/>
        </w:rPr>
        <w:t xml:space="preserve">, enterprise-app object ID </w:t>
      </w:r>
      <w:r>
        <w:rPr>
          <w:rFonts w:ascii="Consolas" w:hAnsi="Consolas"/>
          <w:rFonts w:ascii="Consolas" w:hAnsi="Consolas"/>
          <w:sz w:val="20"/>
        </w:rPr>
        <w:t>2baf649e-9329-4843-9afc-c2a8f90110a3</w:t>
      </w:r>
      <w:r>
        <w:rPr>
          <w:rFonts w:ascii="Arial" w:hAnsi="Arial"/>
          <w:sz w:val="22"/>
        </w:rPr>
        <w:t xml:space="preserve">. </w:t>
      </w:r>
      <w:r>
        <w:rPr>
          <w:rFonts w:ascii="Arial" w:hAnsi="Arial"/>
          <w:b/>
          <w:sz w:val="22"/>
        </w:rPr>
        <w:t>No Entra API permissions</w:t>
      </w:r>
      <w:r>
        <w:rPr>
          <w:rFonts w:ascii="Arial" w:hAnsi="Arial"/>
          <w:sz w:val="22"/>
        </w:rPr>
        <w:t xml:space="preserve"> (no tenant-wide </w:t>
      </w:r>
      <w:r>
        <w:rPr>
          <w:rFonts w:ascii="Consolas" w:hAnsi="Consolas"/>
          <w:rFonts w:ascii="Consolas" w:hAnsi="Consolas"/>
          <w:sz w:val="20"/>
        </w:rPr>
        <w:t>Mail.Send</w:t>
      </w:r>
      <w:r>
        <w:rPr>
          <w:rFonts w:ascii="Arial" w:hAnsi="Arial"/>
          <w:sz w:val="22"/>
        </w:rPr>
        <w:t>). No secret yet: it is created at go-live and written straight into the server's environment files, never displayed or committed.</w:t>
      </w:r>
    </w:p>
    <w:p>
      <w:pPr>
        <w:spacing w:after="40"/>
        <w:ind w:left="620" w:hanging="260"/>
      </w:pPr>
      <w:r>
        <w:rPr>
          <w:rFonts w:ascii="Arial" w:hAnsi="Arial"/>
          <w:sz w:val="22"/>
        </w:rPr>
        <w:t xml:space="preserve">•  </w:t>
      </w:r>
      <w:r>
        <w:rPr>
          <w:rFonts w:ascii="Arial" w:hAnsi="Arial"/>
          <w:sz w:val="22"/>
        </w:rPr>
        <w:t>Exchange: service principal registered; management scope "Varangians LMS mailer - noreply only" (</w:t>
      </w:r>
      <w:r>
        <w:rPr>
          <w:rFonts w:ascii="Consolas" w:hAnsi="Consolas"/>
          <w:rFonts w:ascii="Consolas" w:hAnsi="Consolas"/>
          <w:sz w:val="20"/>
        </w:rPr>
        <w:t>PrimarySmtpAddress -eq 'noreply@varangians.co.uk'</w:t>
      </w:r>
      <w:r>
        <w:rPr>
          <w:rFonts w:ascii="Arial" w:hAnsi="Arial"/>
          <w:sz w:val="22"/>
        </w:rPr>
        <w:t xml:space="preserve">); role assignment </w:t>
      </w:r>
      <w:r>
        <w:rPr>
          <w:rFonts w:ascii="Consolas" w:hAnsi="Consolas"/>
          <w:rFonts w:ascii="Consolas" w:hAnsi="Consolas"/>
          <w:sz w:val="20"/>
        </w:rPr>
        <w:t>Application Mail.Send</w:t>
      </w:r>
      <w:r>
        <w:rPr>
          <w:rFonts w:ascii="Arial" w:hAnsi="Arial"/>
          <w:sz w:val="22"/>
        </w:rPr>
        <w:t xml:space="preserve"> on that scope. </w:t>
      </w:r>
      <w:r>
        <w:rPr>
          <w:rFonts w:ascii="Consolas" w:hAnsi="Consolas"/>
          <w:rFonts w:ascii="Consolas" w:hAnsi="Consolas"/>
          <w:sz w:val="20"/>
        </w:rPr>
        <w:t>Test-ServicePrincipalAuthorization</w:t>
      </w:r>
      <w:r>
        <w:rPr>
          <w:rFonts w:ascii="Arial" w:hAnsi="Arial"/>
          <w:sz w:val="22"/>
        </w:rPr>
        <w:t xml:space="preserve">: in scope for </w:t>
      </w:r>
      <w:r>
        <w:rPr>
          <w:rFonts w:ascii="Consolas" w:hAnsi="Consolas"/>
          <w:rFonts w:ascii="Consolas" w:hAnsi="Consolas"/>
          <w:sz w:val="20"/>
        </w:rPr>
        <w:t>noreply@varangians.co.uk</w:t>
      </w:r>
      <w:r>
        <w:rPr>
          <w:rFonts w:ascii="Arial" w:hAnsi="Arial"/>
          <w:sz w:val="22"/>
        </w:rPr>
        <w:t>, out of scope for another mailbox.</w:t>
      </w:r>
    </w:p>
    <w:p>
      <w:pPr>
        <w:spacing w:after="40"/>
        <w:ind w:left="620" w:hanging="260"/>
      </w:pPr>
      <w:r>
        <w:rPr>
          <w:rFonts w:ascii="Arial" w:hAnsi="Arial"/>
          <w:sz w:val="22"/>
        </w:rPr>
        <w:t xml:space="preserve">•  </w:t>
      </w:r>
      <w:r>
        <w:rPr>
          <w:rFonts w:ascii="Arial" w:hAnsi="Arial"/>
          <w:sz w:val="22"/>
        </w:rPr>
        <w:t>Exchange caches app permission changes for 30 minutes to 2 hours (Microsoft Learn, RBAC for Applications), so a first send may fail shortly after any change.</w:t>
      </w:r>
    </w:p>
    <w:p>
      <w:pPr>
        <w:spacing w:after="80"/>
      </w:pPr>
      <w:r>
        <w:rPr>
          <w:rFonts w:ascii="Arial" w:hAnsi="Arial"/>
          <w:b/>
          <w:sz w:val="22"/>
        </w:rPr>
        <w:t>Droplet size — decided by Philip 12/10/2026:</w:t>
      </w:r>
      <w:r>
        <w:rPr>
          <w:rFonts w:ascii="Arial" w:hAnsi="Arial"/>
          <w:sz w:val="22"/>
        </w:rPr>
        <w:t xml:space="preserve"> Basic 2 GiB / 1 vCPU / 50 GiB SSD at $12/month rather than the review's 1 GiB at $6/month, because PostgreSQL, the Blazor Server app (which holds a live circuit in memory per connected user) and the nightly jobs share one machine; 1 GiB leaves little headroom. Prices from DigitalOcean Droplet pricing (https://www.digitalocean.com/pricing/droplets), checked 12/10/2026.</w:t>
      </w:r>
    </w:p>
    <w:p>
      <w:pPr>
        <w:keepNext/>
        <w:spacing w:before="200" w:after="80"/>
        <w:outlineLvl w:val="1"/>
      </w:pPr>
      <w:r>
        <w:rPr>
          <w:rFonts w:ascii="Arial" w:hAnsi="Arial"/>
          <w:b/>
          <w:color w:val="1F2937"/>
          <w:sz w:val="26"/>
        </w:rPr>
        <w:t>Reference</w:t>
      </w:r>
    </w:p>
    <w:p>
      <w:pPr>
        <w:spacing w:after="80"/>
      </w:pPr>
      <w:r>
        <w:rPr>
          <w:rFonts w:ascii="Arial" w:hAnsi="Arial"/>
          <w:sz w:val="22"/>
        </w:rPr>
        <w:t xml:space="preserve">Full cost analysis, pricing sources, and the ranked comparison behind this decision: </w:t>
      </w:r>
      <w:r>
        <w:rPr>
          <w:rFonts w:ascii="Consolas" w:hAnsi="Consolas"/>
          <w:rFonts w:ascii="Consolas" w:hAnsi="Consolas"/>
          <w:sz w:val="20"/>
        </w:rPr>
        <w:t>docs/design/hosting-cost-review-2026-07-20.md</w:t>
      </w:r>
      <w:r>
        <w:rPr>
          <w:rFonts w:ascii="Arial" w:hAnsi="Arial"/>
          <w:sz w:val="22"/>
        </w:rPr>
        <w:t>.</w:t>
      </w:r>
    </w:p>
    <w:p>
      <w:pPr>
        <w:keepNext/>
        <w:spacing w:before="280" w:after="120"/>
        <w:outlineLvl w:val="0"/>
      </w:pPr>
      <w:r>
        <w:rPr>
          <w:rFonts w:ascii="Arial" w:hAnsi="Arial"/>
          <w:b/>
          <w:color w:val="111827"/>
          <w:sz w:val="32"/>
        </w:rPr>
        <w:t>Assumptions</w:t>
      </w:r>
    </w:p>
    <w:p>
      <w:pPr>
        <w:spacing w:after="120" w:before="0"/>
      </w:pPr>
      <w:r>
        <w:rPr>
          <w:rFonts w:ascii="Arial" w:hAnsi="Arial"/>
          <w:b w:val="0"/>
          <w:i w:val="0"/>
          <w:sz w:val="22"/>
        </w:rPr>
        <w:t>Assumptions are tracked as A-nnn entries in the RAID log (VLMS-RAID / docs/governance/raid.md). Source-specific assumptions are stated in the sections above.</w:t>
      </w:r>
    </w:p>
    <w:p>
      <w:pPr>
        <w:keepNext/>
        <w:spacing w:before="280" w:after="120"/>
        <w:outlineLvl w:val="0"/>
      </w:pPr>
      <w:r>
        <w:rPr>
          <w:rFonts w:ascii="Arial" w:hAnsi="Arial"/>
          <w:b/>
          <w:color w:val="111827"/>
          <w:sz w:val="32"/>
        </w:rPr>
        <w:t>Open Questions and [TBC] Gaps</w:t>
      </w:r>
    </w:p>
    <w:p>
      <w:pPr>
        <w:spacing w:after="120" w:before="0"/>
      </w:pPr>
      <w:r>
        <w:rPr>
          <w:rFonts w:ascii="Arial" w:hAnsi="Arial"/>
          <w:b w:val="0"/>
          <w:i w:val="0"/>
          <w:sz w:val="22"/>
        </w:rPr>
        <w:t>No [TBC] markers in the source markdown at this gate.</w:t>
      </w:r>
    </w:p>
    <w:p>
      <w:pPr>
        <w:keepNext/>
        <w:spacing w:before="280" w:after="120"/>
        <w:outlineLvl w:val="0"/>
      </w:pPr>
      <w:r>
        <w:rPr>
          <w:rFonts w:ascii="Arial" w:hAnsi="Arial"/>
          <w:b/>
          <w:color w:val="111827"/>
          <w:sz w:val="32"/>
        </w:rPr>
        <w:t>Glossary</w:t>
      </w:r>
    </w:p>
    <w:p>
      <w:pPr>
        <w:spacing w:after="120" w:before="0"/>
      </w:pPr>
      <w:r>
        <w:rPr>
          <w:rFonts w:ascii="Arial" w:hAnsi="Arial"/>
          <w:b w:val="0"/>
          <w:i w:val="0"/>
          <w:sz w:val="22"/>
        </w:rPr>
        <w:t>Terms are defined in the VLMS Glossary (VLMS-GLOS / docs/glossary.md).</w:t>
      </w:r>
    </w:p>
    <w:sectPr w:rsidR="00FC693F" w:rsidRPr="0006063C" w:rsidSect="00034616">
      <w:headerReference w:type="default" r:id="rId9"/>
      <w:footerReference w:type="default" r:id="rId10"/>
      <w:pgSz w:w="11906" w:h="16838"/>
      <w:pgMar w:top="1440" w:right="1440" w:bottom="1440" w:left="1440" w:header="560" w:footer="5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Pr>
        <w:rFonts w:ascii="Arial" w:hAnsi="Arial"/>
        <w:color w:val="6B7280"/>
        <w:sz w:val="16"/>
      </w:rPr>
      <w:t>VLMS Architecture Decision Records</w:t>
      <w:tab/>
    </w:r>
    <w:r>
      <w:rPr>
        <w:rFonts w:ascii="Arial" w:hAnsi="Arial"/>
        <w:color w:val="6B7280"/>
        <w:sz w:val="16"/>
      </w:rPr>
      <w:t xml:space="preserve">Page </w:t>
    </w:r>
    <w:r>
      <w:rPr>
        <w:rFonts w:ascii="Arial" w:hAnsi="Arial"/>
        <w:color w:val="6B7280"/>
        <w:sz w:val="16"/>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