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Project Charter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Project Charter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VLMS-CHTR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revision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docs/requirements/problem-statement.md, docs/requirements/stakeholders.md, docs/delivery-plan.md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 21502:2020, PMBOK Guide 8th ed., PRINCE2 7 (stage-boundary governance); ISO/IEC/IEEE 12207:2017.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Problem Statement</w:t>
      </w:r>
    </w:p>
    <w:p>
      <w:pPr>
        <w:spacing w:after="80"/>
      </w:pPr>
      <w:r>
        <w:rPr>
          <w:rFonts w:ascii="Arial" w:hAnsi="Arial"/>
          <w:sz w:val="22"/>
        </w:rPr>
        <w:t>Status: in progress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Project identity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Project name:</w:t>
      </w:r>
      <w:r>
        <w:rPr>
          <w:rFonts w:ascii="Arial" w:hAnsi="Arial"/>
          <w:sz w:val="22"/>
        </w:rPr>
        <w:t xml:space="preserve"> Varangians LMS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Document code:</w:t>
      </w:r>
      <w:r>
        <w:rPr>
          <w:rFonts w:ascii="Arial" w:hAnsi="Arial"/>
          <w:sz w:val="22"/>
        </w:rPr>
        <w:t xml:space="preserve"> </w:t>
      </w:r>
      <w:r>
        <w:rPr>
          <w:rFonts w:ascii="Consolas" w:hAnsi="Consolas"/>
          <w:rFonts w:ascii="Consolas" w:hAnsi="Consolas"/>
          <w:sz w:val="20"/>
        </w:rPr>
        <w:t>VLMS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One-line description:</w:t>
      </w:r>
      <w:r>
        <w:rPr>
          <w:rFonts w:ascii="Arial" w:hAnsi="Arial"/>
          <w:sz w:val="22"/>
        </w:rPr>
        <w:t xml:space="preserve"> [TBC]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Provenance:</w:t>
      </w:r>
      <w:r>
        <w:rPr>
          <w:rFonts w:ascii="Arial" w:hAnsi="Arial"/>
          <w:sz w:val="22"/>
        </w:rPr>
        <w:t xml:space="preserve"> fresh .NET rebuild of a previously abandoned Power Platform (SharePoint/Power Apps/Dataverse/Power Automate/Asana) implementation of the same programme. Only the underlying business requirements are carried forward; the prior tooling and design decisions are deliberately not reused.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Current state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Progress tracking and records are kept in spreadsheets that go out of date; tracking is informal.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No curriculum management process: lesson content is not periodically reviewed, and there is no structured way to propose or make incremental improvements to lessons.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No structured parent communication channel around a student's progress.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No mechanism to encourage learning/reinforcement at home, between formal sessions.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Drivers (why build this)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1.  </w:t>
      </w:r>
      <w:r>
        <w:rPr>
          <w:rFonts w:ascii="Arial" w:hAnsi="Arial"/>
          <w:b/>
          <w:sz w:val="22"/>
        </w:rPr>
        <w:t>Progress tracking</w:t>
      </w:r>
      <w:r>
        <w:rPr>
          <w:rFonts w:ascii="Arial" w:hAnsi="Arial"/>
          <w:sz w:val="22"/>
        </w:rPr>
        <w:t xml:space="preserve"> — reliable, current tracking of each student's lesson completions and rank progression (replacing out-of-date spreadsheets).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2.  </w:t>
      </w:r>
      <w:r>
        <w:rPr>
          <w:rFonts w:ascii="Arial" w:hAnsi="Arial"/>
          <w:b/>
          <w:sz w:val="22"/>
        </w:rPr>
        <w:t>Curriculum management process</w:t>
      </w:r>
      <w:r>
        <w:rPr>
          <w:rFonts w:ascii="Arial" w:hAnsi="Arial"/>
          <w:sz w:val="22"/>
        </w:rPr>
        <w:t xml:space="preserve"> — a repeatable process to periodically review lessons, propose changes, and make incremental improvements over time (not a one-off content library).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3.  </w:t>
      </w:r>
      <w:r>
        <w:rPr>
          <w:rFonts w:ascii="Arial" w:hAnsi="Arial"/>
          <w:b/>
          <w:sz w:val="22"/>
        </w:rPr>
        <w:t>Parent engagement</w:t>
      </w:r>
      <w:r>
        <w:rPr>
          <w:rFonts w:ascii="Arial" w:hAnsi="Arial"/>
          <w:sz w:val="22"/>
        </w:rPr>
        <w:t xml:space="preserve"> — keep parents informed of their child's progress.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4.  </w:t>
      </w:r>
      <w:r>
        <w:rPr>
          <w:rFonts w:ascii="Arial" w:hAnsi="Arial"/>
          <w:b/>
          <w:sz w:val="22"/>
        </w:rPr>
        <w:t>At-home learning</w:t>
      </w:r>
      <w:r>
        <w:rPr>
          <w:rFonts w:ascii="Arial" w:hAnsi="Arial"/>
          <w:sz w:val="22"/>
        </w:rPr>
        <w:t xml:space="preserve"> — encourage learning/reinforcement outside of formal sessions.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Desired future state / measurable benefits</w:t>
      </w:r>
    </w:p>
    <w:p>
      <w:pPr>
        <w:spacing w:after="80"/>
      </w:pPr>
      <w:r>
        <w:rPr>
          <w:rFonts w:ascii="Arial" w:hAnsi="Arial"/>
          <w:sz w:val="22"/>
        </w:rPr>
        <w:t>Success criteria (initial, deliberately modest): the spreadsheet is retired, and safeguarding/consent and progress data is reliably tracked in the system without incident. No specific engagement KPI (e.g. parent login frequency) is being set at this stage.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Cost of doing nothing</w:t>
      </w:r>
    </w:p>
    <w:p>
      <w:pPr>
        <w:spacing w:after="80"/>
      </w:pPr>
      <w:r>
        <w:rPr>
          <w:rFonts w:ascii="Arial" w:hAnsi="Arial"/>
          <w:sz w:val="22"/>
        </w:rPr>
        <w:t>Status: [TBC] — not yet captured (implicit from drivers: spreadsheets stay out of date, no structured curriculum improvement process, parents stay uninformed).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Stakeholders</w:t>
      </w:r>
    </w:p>
    <w:p>
      <w:pPr>
        <w:spacing w:after="80"/>
      </w:pPr>
      <w:r>
        <w:rPr>
          <w:rFonts w:ascii="Arial" w:hAnsi="Arial"/>
          <w:sz w:val="22"/>
        </w:rPr>
        <w:t>Status: in progress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Sponsor, owner, decision-maker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Philip is sponsor, owner, sole developer, and sole decision-maker/reviewer for requirements and sign-off (a senior leader within the programme with authority to approve all decisions). No other party has a formal say in requirements or sign-off.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This is distinct from the </w:t>
      </w:r>
      <w:r>
        <w:rPr>
          <w:rFonts w:ascii="Arial" w:hAnsi="Arial"/>
          <w:b/>
          <w:sz w:val="22"/>
        </w:rPr>
        <w:t>system's user base</w:t>
      </w:r>
      <w:r>
        <w:rPr>
          <w:rFonts w:ascii="Arial" w:hAnsi="Arial"/>
          <w:sz w:val="22"/>
        </w:rPr>
        <w:t>, which is multi-role: teachers, parents, and students all need direct access to the system (this is not a single-user tool). "Solo" describes delivery/ownership only.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User personas</w:t>
      </w:r>
    </w:p>
    <w:p>
      <w:pPr>
        <w:spacing w:after="80"/>
      </w:pPr>
      <w:r>
        <w:rPr>
          <w:rFonts w:ascii="Arial" w:hAnsi="Arial"/>
          <w:sz w:val="22"/>
        </w:rPr>
        <w:t>Status: in progress — carried over from the prior build as a starting hypothesis, being confirmed for this rebuild: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Admin/Leader (Philip)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Teacher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Approver — </w:t>
      </w:r>
      <w:r>
        <w:rPr>
          <w:rFonts w:ascii="Arial" w:hAnsi="Arial"/>
          <w:b/>
          <w:sz w:val="22"/>
        </w:rPr>
        <w:t>curriculum/lesson-change approval only</w:t>
      </w:r>
      <w:r>
        <w:rPr>
          <w:rFonts w:ascii="Arial" w:hAnsi="Arial"/>
          <w:sz w:val="22"/>
        </w:rPr>
        <w:t>; no role in consent or DBS approval, and no access to DBS records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Parent/Guardian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Student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Safeguarding Officer — safeguarding/consent/DBS oversight; alongside Admin, one of only two roles with access to DBS records</w:t>
      </w:r>
    </w:p>
    <w:p>
      <w:pPr>
        <w:spacing w:after="80"/>
      </w:pPr>
      <w:r>
        <w:rPr>
          <w:rFonts w:ascii="Arial" w:hAnsi="Arial"/>
          <w:b/>
          <w:sz w:val="22"/>
        </w:rPr>
        <w:t>Scale:</w:t>
      </w:r>
      <w:r>
        <w:rPr>
          <w:rFonts w:ascii="Arial" w:hAnsi="Arial"/>
          <w:sz w:val="22"/>
        </w:rPr>
        <w:t xml:space="preserve"> small — tens of users per role (not hundreds), at launch and expected over ~2 years.</w:t>
      </w:r>
    </w:p>
    <w:p>
      <w:pPr>
        <w:spacing w:after="80"/>
      </w:pPr>
      <w:r>
        <w:rPr>
          <w:rFonts w:ascii="Arial" w:hAnsi="Arial"/>
          <w:b/>
          <w:sz w:val="22"/>
        </w:rPr>
        <w:t>Role structure:</w:t>
      </w:r>
      <w:r>
        <w:rPr>
          <w:rFonts w:ascii="Arial" w:hAnsi="Arial"/>
          <w:sz w:val="22"/>
        </w:rPr>
        <w:t xml:space="preserve"> Approver and Safeguarding Officer are already held by named individuals distinct from Philip (Admin) — these are genuinely separate roles in practice today, not just future-delegation placeholders.</w:t>
      </w:r>
    </w:p>
    <w:p>
      <w:pPr>
        <w:spacing w:after="80"/>
      </w:pPr>
      <w:r>
        <w:rPr>
          <w:rFonts w:ascii="Arial" w:hAnsi="Arial"/>
          <w:sz w:val="22"/>
        </w:rPr>
        <w:t>Frequency of use and device context per persona: [TBC].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Delivery Plan</w:t>
      </w:r>
    </w:p>
    <w:p>
      <w:pPr>
        <w:spacing w:after="80"/>
      </w:pPr>
      <w:r>
        <w:rPr>
          <w:rFonts w:ascii="Arial" w:hAnsi="Arial"/>
          <w:sz w:val="22"/>
        </w:rPr>
        <w:t>Status: initial (design gate) — light-touch, proportionate to a solo-delivered project (ISO 21502:2020 stage-boundary guidance applied informally, not as full PRINCE2/PMBOK machinery).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Phases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1.  </w:t>
      </w:r>
      <w:r>
        <w:rPr>
          <w:rFonts w:ascii="Arial" w:hAnsi="Arial"/>
          <w:b/>
          <w:sz w:val="22"/>
        </w:rPr>
        <w:t>Discovery &amp; design (complete)</w:t>
      </w:r>
      <w:r>
        <w:rPr>
          <w:rFonts w:ascii="Arial" w:hAnsi="Arial"/>
          <w:sz w:val="22"/>
        </w:rPr>
        <w:t xml:space="preserve"> — requirements, ADR-0001–0004, data/low-level design; this design gate.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2.  </w:t>
      </w:r>
      <w:r>
        <w:rPr>
          <w:rFonts w:ascii="Arial" w:hAnsi="Arial"/>
          <w:b/>
          <w:sz w:val="22"/>
        </w:rPr>
        <w:t>Build (MVP)</w:t>
      </w:r>
      <w:r>
        <w:rPr>
          <w:rFonts w:ascii="Arial" w:hAnsi="Arial"/>
          <w:sz w:val="22"/>
        </w:rPr>
        <w:t xml:space="preserve"> — implementation via </w:t>
      </w:r>
      <w:r>
        <w:rPr>
          <w:rFonts w:ascii="Consolas" w:hAnsi="Consolas"/>
          <w:rFonts w:ascii="Consolas" w:hAnsi="Consolas"/>
          <w:sz w:val="20"/>
        </w:rPr>
        <w:t>loop-harness</w:t>
      </w:r>
      <w:r>
        <w:rPr>
          <w:rFonts w:ascii="Arial" w:hAnsi="Arial"/>
          <w:sz w:val="22"/>
        </w:rPr>
        <w:t xml:space="preserve"> </w:t>
      </w:r>
      <w:r>
        <w:rPr>
          <w:rFonts w:ascii="Consolas" w:hAnsi="Consolas"/>
          <w:rFonts w:ascii="Consolas" w:hAnsi="Consolas"/>
          <w:sz w:val="20"/>
        </w:rPr>
        <w:t>/work-next</w:t>
      </w:r>
      <w:r>
        <w:rPr>
          <w:rFonts w:ascii="Arial" w:hAnsi="Arial"/>
          <w:sz w:val="22"/>
        </w:rPr>
        <w:t xml:space="preserve"> cycles (one item at a time, in-session, gated by </w:t>
      </w:r>
      <w:r>
        <w:rPr>
          <w:rFonts w:ascii="Consolas" w:hAnsi="Consolas"/>
          <w:rFonts w:ascii="Consolas" w:hAnsi="Consolas"/>
          <w:sz w:val="20"/>
        </w:rPr>
        <w:t>build/verify.ps1</w:t>
      </w:r>
      <w:r>
        <w:rPr>
          <w:rFonts w:ascii="Arial" w:hAnsi="Arial"/>
          <w:sz w:val="22"/>
        </w:rPr>
        <w:t xml:space="preserve">) against </w:t>
      </w:r>
      <w:r>
        <w:rPr>
          <w:rFonts w:ascii="Consolas" w:hAnsi="Consolas"/>
          <w:rFonts w:ascii="Consolas" w:hAnsi="Consolas"/>
          <w:sz w:val="20"/>
        </w:rPr>
        <w:t>STATE.md</w:t>
      </w:r>
      <w:r>
        <w:rPr>
          <w:rFonts w:ascii="Arial" w:hAnsi="Arial"/>
          <w:sz w:val="22"/>
        </w:rPr>
        <w:t xml:space="preserve">, not a fixed Gantt schedule (solo delivery, no hard deadline — </w:t>
      </w:r>
      <w:r>
        <w:rPr>
          <w:rFonts w:ascii="Consolas" w:hAnsi="Consolas"/>
          <w:rFonts w:ascii="Consolas" w:hAnsi="Consolas"/>
          <w:sz w:val="20"/>
        </w:rPr>
        <w:t>requirements/constraints.md</w:t>
      </w:r>
      <w:r>
        <w:rPr>
          <w:rFonts w:ascii="Arial" w:hAnsi="Arial"/>
          <w:sz w:val="22"/>
        </w:rPr>
        <w:t>). Scope: curriculum management (propose/approve/resubmit), progress tracking (completion, auto-promotion, certificates, badges), safeguarding/consent/DBS management including the corrected access-control model (</w:t>
      </w:r>
      <w:r>
        <w:rPr>
          <w:rFonts w:ascii="Consolas" w:hAnsi="Consolas"/>
          <w:rFonts w:ascii="Consolas" w:hAnsi="Consolas"/>
          <w:sz w:val="20"/>
        </w:rPr>
        <w:t>adr/0004</w:t>
      </w:r>
      <w:r>
        <w:rPr>
          <w:rFonts w:ascii="Arial" w:hAnsi="Arial"/>
          <w:sz w:val="22"/>
        </w:rPr>
        <w:t>), parent dashboard + notifications, core reporting + at-risk flagging.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3.  </w:t>
      </w:r>
      <w:r>
        <w:rPr>
          <w:rFonts w:ascii="Arial" w:hAnsi="Arial"/>
          <w:b/>
          <w:sz w:val="22"/>
        </w:rPr>
        <w:t>Delivery gate</w:t>
      </w:r>
      <w:r>
        <w:rPr>
          <w:rFonts w:ascii="Arial" w:hAnsi="Arial"/>
          <w:sz w:val="22"/>
        </w:rPr>
        <w:t xml:space="preserve"> — full test results, RTM completion, security/DPIA sign-off (</w:t>
      </w:r>
      <w:r>
        <w:rPr>
          <w:rFonts w:ascii="Consolas" w:hAnsi="Consolas"/>
          <w:rFonts w:ascii="Consolas" w:hAnsi="Consolas"/>
          <w:sz w:val="20"/>
        </w:rPr>
        <w:t>raid.md</w:t>
      </w:r>
      <w:r>
        <w:rPr>
          <w:rFonts w:ascii="Arial" w:hAnsi="Arial"/>
          <w:sz w:val="22"/>
        </w:rPr>
        <w:t xml:space="preserve"> D-003), operations readiness (runbook, monitoring — to be scoped at that gate, not over-specified now).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4.  </w:t>
      </w:r>
      <w:r>
        <w:rPr>
          <w:rFonts w:ascii="Arial" w:hAnsi="Arial"/>
          <w:b/>
          <w:sz w:val="22"/>
        </w:rPr>
        <w:t>Deferred (post-MVP):</w:t>
      </w:r>
      <w:r>
        <w:rPr>
          <w:rFonts w:ascii="Arial" w:hAnsi="Arial"/>
          <w:sz w:val="22"/>
        </w:rPr>
        <w:t xml:space="preserve"> at-home learning encouragement (</w:t>
      </w:r>
      <w:r>
        <w:rPr>
          <w:rFonts w:ascii="Consolas" w:hAnsi="Consolas"/>
          <w:rFonts w:ascii="Consolas" w:hAnsi="Consolas"/>
          <w:sz w:val="20"/>
        </w:rPr>
        <w:t>requirements/business-requirements.md</w:t>
      </w:r>
      <w:r>
        <w:rPr>
          <w:rFonts w:ascii="Arial" w:hAnsi="Arial"/>
          <w:sz w:val="22"/>
        </w:rPr>
        <w:t>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Delivery approach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Iterative, solo-developer delivery — no fixed milestone dates, no external delivery team to coordinate.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Definition of done for build: the </w:t>
      </w:r>
      <w:r>
        <w:rPr>
          <w:rFonts w:ascii="Consolas" w:hAnsi="Consolas"/>
          <w:rFonts w:ascii="Consolas" w:hAnsi="Consolas"/>
          <w:sz w:val="20"/>
        </w:rPr>
        <w:t>loop-harness</w:t>
      </w:r>
      <w:r>
        <w:rPr>
          <w:rFonts w:ascii="Arial" w:hAnsi="Arial"/>
          <w:sz w:val="22"/>
        </w:rPr>
        <w:t xml:space="preserve"> verify gate exits 0, not a subjective "looks right" call (per the engineer's own loop-engineering practice).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Exit criteria for the delivery gate (named now, not left implicit)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DPIA screening complete (</w:t>
      </w:r>
      <w:r>
        <w:rPr>
          <w:rFonts w:ascii="Consolas" w:hAnsi="Consolas"/>
          <w:rFonts w:ascii="Consolas" w:hAnsi="Consolas"/>
          <w:sz w:val="20"/>
        </w:rPr>
        <w:t>raid.md</w:t>
      </w:r>
      <w:r>
        <w:rPr>
          <w:rFonts w:ascii="Arial" w:hAnsi="Arial"/>
          <w:sz w:val="22"/>
        </w:rPr>
        <w:t xml:space="preserve"> D-003).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Certificate template + delivery mechanism decided and built (</w:t>
      </w:r>
      <w:r>
        <w:rPr>
          <w:rFonts w:ascii="Consolas" w:hAnsi="Consolas"/>
          <w:rFonts w:ascii="Consolas" w:hAnsi="Consolas"/>
          <w:sz w:val="20"/>
        </w:rPr>
        <w:t>requirements/functional.md</w:t>
      </w:r>
      <w:r>
        <w:rPr>
          <w:rFonts w:ascii="Arial" w:hAnsi="Arial"/>
          <w:sz w:val="22"/>
        </w:rPr>
        <w:t>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OWASP ASVS 5.0 access-control/logging conformance checked against the built system (</w:t>
      </w:r>
      <w:r>
        <w:rPr>
          <w:rFonts w:ascii="Consolas" w:hAnsi="Consolas"/>
          <w:rFonts w:ascii="Consolas" w:hAnsi="Consolas"/>
          <w:sz w:val="20"/>
        </w:rPr>
        <w:t>adr/0004-sensitive-data-access-control.md</w:t>
      </w:r>
      <w:r>
        <w:rPr>
          <w:rFonts w:ascii="Arial" w:hAnsi="Arial"/>
          <w:sz w:val="22"/>
        </w:rPr>
        <w:t>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All </w:t>
      </w:r>
      <w:r>
        <w:rPr>
          <w:rFonts w:ascii="Consolas" w:hAnsi="Consolas"/>
          <w:rFonts w:ascii="Consolas" w:hAnsi="Consolas"/>
          <w:sz w:val="20"/>
        </w:rPr>
        <w:t>TC-nnn</w:t>
      </w:r>
      <w:r>
        <w:rPr>
          <w:rFonts w:ascii="Arial" w:hAnsi="Arial"/>
          <w:sz w:val="22"/>
        </w:rPr>
        <w:t xml:space="preserve"> in </w:t>
      </w:r>
      <w:r>
        <w:rPr>
          <w:rFonts w:ascii="Consolas" w:hAnsi="Consolas"/>
          <w:rFonts w:ascii="Consolas" w:hAnsi="Consolas"/>
          <w:sz w:val="20"/>
        </w:rPr>
        <w:t>quality/test-plan.md</w:t>
      </w:r>
      <w:r>
        <w:rPr>
          <w:rFonts w:ascii="Arial" w:hAnsi="Arial"/>
          <w:sz w:val="22"/>
        </w:rPr>
        <w:t xml:space="preserve"> passing, RTM (</w:t>
      </w:r>
      <w:r>
        <w:rPr>
          <w:rFonts w:ascii="Consolas" w:hAnsi="Consolas"/>
          <w:rFonts w:ascii="Consolas" w:hAnsi="Consolas"/>
          <w:sz w:val="20"/>
        </w:rPr>
        <w:t>quality/traceability.md</w:t>
      </w:r>
      <w:r>
        <w:rPr>
          <w:rFonts w:ascii="Arial" w:hAnsi="Arial"/>
          <w:sz w:val="22"/>
        </w:rPr>
        <w:t>) complete.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Items below are carried from the source markdown (the containing line or table cell).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One-line description: [TBC]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Status: [TBC] — not yet captured (implicit from drivers: spreadsheets stay out of date, no structured curriculum improvement process, parents stay uninformed).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Frequency of use and device context per persona: [TBC].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Project Charter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