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0"/>
      </w:pPr>
      <w:r>
        <w:rPr>
          <w:rFonts w:ascii="Arial" w:hAnsi="Arial"/>
          <w:b/>
          <w:i w:val="0"/>
          <w:color w:val="1F2937"/>
          <w:sz w:val="48"/>
        </w:rPr>
        <w:t>VLMS Delivery Plan</w:t>
      </w:r>
    </w:p>
    <w:p>
      <w:pPr>
        <w:spacing w:after="40" w:before="0"/>
      </w:pPr>
      <w:r>
        <w:rPr>
          <w:rFonts w:ascii="Arial" w:hAnsi="Arial"/>
          <w:b w:val="0"/>
          <w:i w:val="0"/>
          <w:color w:val="374151"/>
          <w:sz w:val="24"/>
        </w:rPr>
        <w:t>Varangians LMS – Delivery Gate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7D7D9"/>
          <w:left w:val="single" w:sz="4" w:color="C7D7D9"/>
          <w:bottom w:val="single" w:sz="4" w:color="C7D7D9"/>
          <w:right w:val="single" w:sz="4" w:color="C7D7D9"/>
          <w:insideH w:val="single" w:sz="4" w:color="C7D7D9"/>
          <w:insideV w:val="single" w:sz="4" w:color="C7D7D9"/>
        </w:tblBorders>
      </w:tblPr>
      <w:tblGrid>
        <w:gridCol w:w="4513"/>
        <w:gridCol w:w="4513"/>
      </w:tblGrid>
      <w:tr>
        <w:tc>
          <w:tcPr>
            <w:tcW w:type="dxa" w:w="2400"/>
            <w:shd w:val="clear" w:color="auto" w:fill="374151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6626"/>
            <w:shd w:val="clear" w:color="auto" w:fill="374151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2400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Document</w:t>
            </w:r>
          </w:p>
        </w:tc>
        <w:tc>
          <w:tcPr>
            <w:tcW w:type="dxa" w:w="6626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VLMS Delivery Plan</w:t>
            </w:r>
          </w:p>
        </w:tc>
      </w:tr>
      <w:tr>
        <w:tc>
          <w:tcPr>
            <w:tcW w:type="dxa" w:w="2400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Document code</w:t>
            </w:r>
          </w:p>
        </w:tc>
        <w:tc>
          <w:tcPr>
            <w:tcW w:type="dxa" w:w="6626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VLMS-DEL</w:t>
            </w:r>
          </w:p>
        </w:tc>
      </w:tr>
      <w:tr>
        <w:tc>
          <w:tcPr>
            <w:tcW w:type="dxa" w:w="2400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Version</w:t>
            </w:r>
          </w:p>
        </w:tc>
        <w:tc>
          <w:tcPr>
            <w:tcW w:type="dxa" w:w="6626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2.0</w:t>
            </w:r>
          </w:p>
        </w:tc>
      </w:tr>
      <w:tr>
        <w:tc>
          <w:tcPr>
            <w:tcW w:type="dxa" w:w="2400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Status</w:t>
            </w:r>
          </w:p>
        </w:tc>
        <w:tc>
          <w:tcPr>
            <w:tcW w:type="dxa" w:w="6626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Delivery gate edition</w:t>
            </w:r>
          </w:p>
        </w:tc>
      </w:tr>
      <w:tr>
        <w:tc>
          <w:tcPr>
            <w:tcW w:type="dxa" w:w="2400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Date</w:t>
            </w:r>
          </w:p>
        </w:tc>
        <w:tc>
          <w:tcPr>
            <w:tcW w:type="dxa" w:w="6626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13 October 2026</w:t>
            </w:r>
          </w:p>
        </w:tc>
      </w:tr>
      <w:tr>
        <w:tc>
          <w:tcPr>
            <w:tcW w:type="dxa" w:w="2400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Author</w:t>
            </w:r>
          </w:p>
        </w:tc>
        <w:tc>
          <w:tcPr>
            <w:tcW w:type="dxa" w:w="6626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Philip</w:t>
            </w:r>
          </w:p>
        </w:tc>
      </w:tr>
      <w:tr>
        <w:tc>
          <w:tcPr>
            <w:tcW w:type="dxa" w:w="2400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Reviewers</w:t>
            </w:r>
          </w:p>
        </w:tc>
        <w:tc>
          <w:tcPr>
            <w:tcW w:type="dxa" w:w="6626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Philip (sole reviewer / approver)</w:t>
            </w:r>
          </w:p>
        </w:tc>
      </w:tr>
      <w:tr>
        <w:tc>
          <w:tcPr>
            <w:tcW w:type="dxa" w:w="2400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Approver</w:t>
            </w:r>
          </w:p>
        </w:tc>
        <w:tc>
          <w:tcPr>
            <w:tcW w:type="dxa" w:w="6626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[TBC]</w:t>
            </w:r>
          </w:p>
        </w:tc>
      </w:tr>
      <w:tr>
        <w:tc>
          <w:tcPr>
            <w:tcW w:type="dxa" w:w="2400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Scope / phase</w:t>
            </w:r>
          </w:p>
        </w:tc>
        <w:tc>
          <w:tcPr>
            <w:tcW w:type="dxa" w:w="6626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Delivery gate revision</w:t>
            </w:r>
          </w:p>
        </w:tc>
      </w:tr>
      <w:tr>
        <w:tc>
          <w:tcPr>
            <w:tcW w:type="dxa" w:w="2400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Related documents</w:t>
            </w:r>
          </w:p>
        </w:tc>
        <w:tc>
          <w:tcPr>
            <w:tcW w:type="dxa" w:w="6626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docs/delivery-plan.md</w:t>
            </w:r>
          </w:p>
        </w:tc>
      </w:tr>
    </w:tbl>
    <w:p>
      <w:pPr>
        <w:spacing w:after="80"/>
      </w:pPr>
    </w:p>
    <w:p>
      <w:pPr>
        <w:keepNext/>
        <w:spacing w:before="200" w:after="80"/>
        <w:outlineLvl w:val="1"/>
      </w:pPr>
      <w:r>
        <w:rPr>
          <w:rFonts w:ascii="Arial" w:hAnsi="Arial"/>
          <w:b/>
          <w:color w:val="1F2937"/>
          <w:sz w:val="26"/>
        </w:rPr>
        <w:t>Change History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7D7D9"/>
          <w:left w:val="single" w:sz="4" w:color="C7D7D9"/>
          <w:bottom w:val="single" w:sz="4" w:color="C7D7D9"/>
          <w:right w:val="single" w:sz="4" w:color="C7D7D9"/>
          <w:insideH w:val="single" w:sz="4" w:color="C7D7D9"/>
          <w:insideV w:val="single" w:sz="4" w:color="C7D7D9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1150"/>
            <w:shd w:val="clear" w:color="auto" w:fill="374151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1500"/>
            <w:shd w:val="clear" w:color="auto" w:fill="374151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20"/>
              </w:rPr>
              <w:t>Date</w:t>
            </w:r>
          </w:p>
        </w:tc>
        <w:tc>
          <w:tcPr>
            <w:tcW w:type="dxa" w:w="2700"/>
            <w:shd w:val="clear" w:color="auto" w:fill="374151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20"/>
              </w:rPr>
              <w:t>Author</w:t>
            </w:r>
          </w:p>
        </w:tc>
        <w:tc>
          <w:tcPr>
            <w:tcW w:type="dxa" w:w="3676"/>
            <w:shd w:val="clear" w:color="auto" w:fill="374151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20"/>
              </w:rPr>
              <w:t>Summary</w:t>
            </w:r>
          </w:p>
        </w:tc>
      </w:tr>
      <w:tr>
        <w:tc>
          <w:tcPr>
            <w:tcW w:type="dxa" w:w="1150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2.0</w:t>
            </w:r>
          </w:p>
        </w:tc>
        <w:tc>
          <w:tcPr>
            <w:tcW w:type="dxa" w:w="1500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13 October 2026</w:t>
            </w:r>
          </w:p>
        </w:tc>
        <w:tc>
          <w:tcPr>
            <w:tcW w:type="dxa" w:w="2700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Philip</w:t>
            </w:r>
          </w:p>
        </w:tc>
        <w:tc>
          <w:tcPr>
            <w:tcW w:type="dxa" w:w="3676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Delivery gate edition, rendered from docs/ working markdown (supersedes design gate edition where one exists).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keepNext/>
        <w:spacing w:before="280" w:after="120"/>
        <w:outlineLvl w:val="0"/>
      </w:pPr>
      <w:r>
        <w:rPr>
          <w:rFonts w:ascii="Arial" w:hAnsi="Arial"/>
          <w:b/>
          <w:color w:val="111827"/>
          <w:sz w:val="32"/>
        </w:rPr>
        <w:t>Contents</w:t>
      </w:r>
    </w:p>
    <w:p>
      <w:fldSimple w:instr="TOC \o &quot;1-2&quot; \h \z \u">
        <w:r>
          <w:t>Right-click and choose "Update Field" to build the contents.</w:t>
        </w:r>
      </w:fldSimple>
    </w:p>
    <w:p>
      <w:r>
        <w:br w:type="page"/>
      </w:r>
    </w:p>
    <w:p>
      <w:pPr>
        <w:keepNext/>
        <w:spacing w:before="280" w:after="120"/>
        <w:outlineLvl w:val="0"/>
      </w:pPr>
      <w:r>
        <w:rPr>
          <w:rFonts w:ascii="Arial" w:hAnsi="Arial"/>
          <w:b/>
          <w:color w:val="111827"/>
          <w:sz w:val="32"/>
        </w:rPr>
        <w:t>Standards and Conformance</w:t>
      </w:r>
    </w:p>
    <w:p>
      <w:pPr>
        <w:spacing w:after="120" w:before="0"/>
      </w:pPr>
      <w:r>
        <w:rPr>
          <w:rFonts w:ascii="Arial" w:hAnsi="Arial"/>
          <w:b w:val="0"/>
          <w:i w:val="0"/>
          <w:sz w:val="22"/>
        </w:rPr>
        <w:t>This document satisfies or is consistent with: ISO 21502:2020, PMBOK Guide 8th ed., PRINCE2 7 (stage-boundary governance).</w:t>
      </w:r>
    </w:p>
    <w:p>
      <w:pPr>
        <w:spacing w:after="120" w:before="0"/>
      </w:pPr>
      <w:r>
        <w:rPr>
          <w:rFonts w:ascii="Arial" w:hAnsi="Arial"/>
          <w:b w:val="0"/>
          <w:i/>
          <w:sz w:val="20"/>
        </w:rPr>
        <w:t>Generated from the working markdown listed in Related documents; the markdown is authoritative. Status of source material is reproduced as written in each source.</w:t>
      </w:r>
    </w:p>
    <w:p>
      <w:pPr>
        <w:keepNext/>
        <w:spacing w:before="280" w:after="120"/>
        <w:outlineLvl w:val="0"/>
      </w:pPr>
      <w:r>
        <w:rPr>
          <w:rFonts w:ascii="Arial" w:hAnsi="Arial"/>
          <w:b/>
          <w:color w:val="111827"/>
          <w:sz w:val="32"/>
        </w:rPr>
        <w:t>Delivery Plan</w:t>
      </w:r>
    </w:p>
    <w:p>
      <w:pPr>
        <w:spacing w:after="80"/>
      </w:pPr>
      <w:r>
        <w:rPr>
          <w:rFonts w:ascii="Arial" w:hAnsi="Arial"/>
          <w:sz w:val="22"/>
        </w:rPr>
        <w:t>Status: initial (design gate) — light-touch, proportionate to a solo-delivered project (ISO 21502:2020 stage-boundary guidance applied informally, not as full PRINCE2/PMBOK machinery).</w:t>
      </w:r>
    </w:p>
    <w:p>
      <w:pPr>
        <w:keepNext/>
        <w:spacing w:before="200" w:after="80"/>
        <w:outlineLvl w:val="1"/>
      </w:pPr>
      <w:r>
        <w:rPr>
          <w:rFonts w:ascii="Arial" w:hAnsi="Arial"/>
          <w:b/>
          <w:color w:val="1F2937"/>
          <w:sz w:val="26"/>
        </w:rPr>
        <w:t>Phases</w:t>
      </w:r>
    </w:p>
    <w:p>
      <w:pPr>
        <w:spacing w:after="40"/>
        <w:ind w:left="720" w:hanging="360"/>
      </w:pPr>
      <w:r>
        <w:rPr>
          <w:rFonts w:ascii="Arial" w:hAnsi="Arial"/>
          <w:sz w:val="22"/>
        </w:rPr>
        <w:t xml:space="preserve">1.  </w:t>
      </w:r>
      <w:r>
        <w:rPr>
          <w:rFonts w:ascii="Arial" w:hAnsi="Arial"/>
          <w:b/>
          <w:sz w:val="22"/>
        </w:rPr>
        <w:t>Discovery &amp; design (complete)</w:t>
      </w:r>
      <w:r>
        <w:rPr>
          <w:rFonts w:ascii="Arial" w:hAnsi="Arial"/>
          <w:sz w:val="22"/>
        </w:rPr>
        <w:t xml:space="preserve"> — requirements, ADR-0001–0004, data/low-level design; this design gate.</w:t>
      </w:r>
    </w:p>
    <w:p>
      <w:pPr>
        <w:spacing w:after="40"/>
        <w:ind w:left="720" w:hanging="360"/>
      </w:pPr>
      <w:r>
        <w:rPr>
          <w:rFonts w:ascii="Arial" w:hAnsi="Arial"/>
          <w:sz w:val="22"/>
        </w:rPr>
        <w:t xml:space="preserve">2.  </w:t>
      </w:r>
      <w:r>
        <w:rPr>
          <w:rFonts w:ascii="Arial" w:hAnsi="Arial"/>
          <w:b/>
          <w:sz w:val="22"/>
        </w:rPr>
        <w:t>Build (MVP)</w:t>
      </w:r>
      <w:r>
        <w:rPr>
          <w:rFonts w:ascii="Arial" w:hAnsi="Arial"/>
          <w:sz w:val="22"/>
        </w:rPr>
        <w:t xml:space="preserve"> — implementation via </w:t>
      </w:r>
      <w:r>
        <w:rPr>
          <w:rFonts w:ascii="Consolas" w:hAnsi="Consolas"/>
          <w:rFonts w:ascii="Consolas" w:hAnsi="Consolas"/>
          <w:sz w:val="20"/>
        </w:rPr>
        <w:t>loop-harness</w:t>
      </w:r>
      <w:r>
        <w:rPr>
          <w:rFonts w:ascii="Arial" w:hAnsi="Arial"/>
          <w:sz w:val="22"/>
        </w:rPr>
        <w:t xml:space="preserve"> </w:t>
      </w:r>
      <w:r>
        <w:rPr>
          <w:rFonts w:ascii="Consolas" w:hAnsi="Consolas"/>
          <w:rFonts w:ascii="Consolas" w:hAnsi="Consolas"/>
          <w:sz w:val="20"/>
        </w:rPr>
        <w:t>/work-next</w:t>
      </w:r>
      <w:r>
        <w:rPr>
          <w:rFonts w:ascii="Arial" w:hAnsi="Arial"/>
          <w:sz w:val="22"/>
        </w:rPr>
        <w:t xml:space="preserve"> cycles (one item at a time, in-session, gated by </w:t>
      </w:r>
      <w:r>
        <w:rPr>
          <w:rFonts w:ascii="Consolas" w:hAnsi="Consolas"/>
          <w:rFonts w:ascii="Consolas" w:hAnsi="Consolas"/>
          <w:sz w:val="20"/>
        </w:rPr>
        <w:t>build/verify.ps1</w:t>
      </w:r>
      <w:r>
        <w:rPr>
          <w:rFonts w:ascii="Arial" w:hAnsi="Arial"/>
          <w:sz w:val="22"/>
        </w:rPr>
        <w:t xml:space="preserve">) against </w:t>
      </w:r>
      <w:r>
        <w:rPr>
          <w:rFonts w:ascii="Consolas" w:hAnsi="Consolas"/>
          <w:rFonts w:ascii="Consolas" w:hAnsi="Consolas"/>
          <w:sz w:val="20"/>
        </w:rPr>
        <w:t>STATE.md</w:t>
      </w:r>
      <w:r>
        <w:rPr>
          <w:rFonts w:ascii="Arial" w:hAnsi="Arial"/>
          <w:sz w:val="22"/>
        </w:rPr>
        <w:t xml:space="preserve">, not a fixed Gantt schedule (solo delivery, no hard deadline — </w:t>
      </w:r>
      <w:r>
        <w:rPr>
          <w:rFonts w:ascii="Consolas" w:hAnsi="Consolas"/>
          <w:rFonts w:ascii="Consolas" w:hAnsi="Consolas"/>
          <w:sz w:val="20"/>
        </w:rPr>
        <w:t>requirements/constraints.md</w:t>
      </w:r>
      <w:r>
        <w:rPr>
          <w:rFonts w:ascii="Arial" w:hAnsi="Arial"/>
          <w:sz w:val="22"/>
        </w:rPr>
        <w:t>). Scope: curriculum management (propose/approve/resubmit), progress tracking (completion, auto-promotion, certificates, badges), safeguarding/consent/DBS management including the corrected access-control model (</w:t>
      </w:r>
      <w:r>
        <w:rPr>
          <w:rFonts w:ascii="Consolas" w:hAnsi="Consolas"/>
          <w:rFonts w:ascii="Consolas" w:hAnsi="Consolas"/>
          <w:sz w:val="20"/>
        </w:rPr>
        <w:t>adr/0004</w:t>
      </w:r>
      <w:r>
        <w:rPr>
          <w:rFonts w:ascii="Arial" w:hAnsi="Arial"/>
          <w:sz w:val="22"/>
        </w:rPr>
        <w:t>), parent dashboard + notifications, core reporting + at-risk flagging.</w:t>
      </w:r>
    </w:p>
    <w:p>
      <w:pPr>
        <w:spacing w:after="40"/>
        <w:ind w:left="720" w:hanging="360"/>
      </w:pPr>
      <w:r>
        <w:rPr>
          <w:rFonts w:ascii="Arial" w:hAnsi="Arial"/>
          <w:sz w:val="22"/>
        </w:rPr>
        <w:t xml:space="preserve">3.  </w:t>
      </w:r>
      <w:r>
        <w:rPr>
          <w:rFonts w:ascii="Arial" w:hAnsi="Arial"/>
          <w:b/>
          <w:sz w:val="22"/>
        </w:rPr>
        <w:t>Delivery gate</w:t>
      </w:r>
      <w:r>
        <w:rPr>
          <w:rFonts w:ascii="Arial" w:hAnsi="Arial"/>
          <w:sz w:val="22"/>
        </w:rPr>
        <w:t xml:space="preserve"> — full test results, RTM completion, security/DPIA sign-off (</w:t>
      </w:r>
      <w:r>
        <w:rPr>
          <w:rFonts w:ascii="Consolas" w:hAnsi="Consolas"/>
          <w:rFonts w:ascii="Consolas" w:hAnsi="Consolas"/>
          <w:sz w:val="20"/>
        </w:rPr>
        <w:t>raid.md</w:t>
      </w:r>
      <w:r>
        <w:rPr>
          <w:rFonts w:ascii="Arial" w:hAnsi="Arial"/>
          <w:sz w:val="22"/>
        </w:rPr>
        <w:t xml:space="preserve"> D-003), operations readiness (runbook, monitoring — to be scoped at that gate, not over-specified now).</w:t>
      </w:r>
    </w:p>
    <w:p>
      <w:pPr>
        <w:spacing w:after="40"/>
        <w:ind w:left="720" w:hanging="360"/>
      </w:pPr>
      <w:r>
        <w:rPr>
          <w:rFonts w:ascii="Arial" w:hAnsi="Arial"/>
          <w:sz w:val="22"/>
        </w:rPr>
        <w:t xml:space="preserve">4.  </w:t>
      </w:r>
      <w:r>
        <w:rPr>
          <w:rFonts w:ascii="Arial" w:hAnsi="Arial"/>
          <w:b/>
          <w:sz w:val="22"/>
        </w:rPr>
        <w:t>Deferred (post-MVP):</w:t>
      </w:r>
      <w:r>
        <w:rPr>
          <w:rFonts w:ascii="Arial" w:hAnsi="Arial"/>
          <w:sz w:val="22"/>
        </w:rPr>
        <w:t xml:space="preserve"> at-home learning encouragement (</w:t>
      </w:r>
      <w:r>
        <w:rPr>
          <w:rFonts w:ascii="Consolas" w:hAnsi="Consolas"/>
          <w:rFonts w:ascii="Consolas" w:hAnsi="Consolas"/>
          <w:sz w:val="20"/>
        </w:rPr>
        <w:t>requirements/business-requirements.md</w:t>
      </w:r>
      <w:r>
        <w:rPr>
          <w:rFonts w:ascii="Arial" w:hAnsi="Arial"/>
          <w:sz w:val="22"/>
        </w:rPr>
        <w:t>).</w:t>
      </w:r>
    </w:p>
    <w:p>
      <w:pPr>
        <w:keepNext/>
        <w:spacing w:before="200" w:after="80"/>
        <w:outlineLvl w:val="1"/>
      </w:pPr>
      <w:r>
        <w:rPr>
          <w:rFonts w:ascii="Arial" w:hAnsi="Arial"/>
          <w:b/>
          <w:color w:val="1F2937"/>
          <w:sz w:val="26"/>
        </w:rPr>
        <w:t>Delivery approach</w:t>
      </w:r>
    </w:p>
    <w:p>
      <w:pPr>
        <w:spacing w:after="40"/>
        <w:ind w:left="620" w:hanging="260"/>
      </w:pPr>
      <w:r>
        <w:rPr>
          <w:rFonts w:ascii="Arial" w:hAnsi="Arial"/>
          <w:sz w:val="22"/>
        </w:rPr>
        <w:t xml:space="preserve">•  </w:t>
      </w:r>
      <w:r>
        <w:rPr>
          <w:rFonts w:ascii="Arial" w:hAnsi="Arial"/>
          <w:sz w:val="22"/>
        </w:rPr>
        <w:t>Iterative, solo-developer delivery — no fixed milestone dates, no external delivery team to coordinate.</w:t>
      </w:r>
    </w:p>
    <w:p>
      <w:pPr>
        <w:spacing w:after="40"/>
        <w:ind w:left="620" w:hanging="260"/>
      </w:pPr>
      <w:r>
        <w:rPr>
          <w:rFonts w:ascii="Arial" w:hAnsi="Arial"/>
          <w:sz w:val="22"/>
        </w:rPr>
        <w:t xml:space="preserve">•  </w:t>
      </w:r>
      <w:r>
        <w:rPr>
          <w:rFonts w:ascii="Arial" w:hAnsi="Arial"/>
          <w:sz w:val="22"/>
        </w:rPr>
        <w:t xml:space="preserve">Definition of done for build: the </w:t>
      </w:r>
      <w:r>
        <w:rPr>
          <w:rFonts w:ascii="Consolas" w:hAnsi="Consolas"/>
          <w:rFonts w:ascii="Consolas" w:hAnsi="Consolas"/>
          <w:sz w:val="20"/>
        </w:rPr>
        <w:t>loop-harness</w:t>
      </w:r>
      <w:r>
        <w:rPr>
          <w:rFonts w:ascii="Arial" w:hAnsi="Arial"/>
          <w:sz w:val="22"/>
        </w:rPr>
        <w:t xml:space="preserve"> verify gate exits 0, not a subjective "looks right" call (per the engineer's own loop-engineering practice).</w:t>
      </w:r>
    </w:p>
    <w:p>
      <w:pPr>
        <w:keepNext/>
        <w:spacing w:before="200" w:after="80"/>
        <w:outlineLvl w:val="1"/>
      </w:pPr>
      <w:r>
        <w:rPr>
          <w:rFonts w:ascii="Arial" w:hAnsi="Arial"/>
          <w:b/>
          <w:color w:val="1F2937"/>
          <w:sz w:val="26"/>
        </w:rPr>
        <w:t>Exit criteria for the delivery gate (named now, not left implicit)</w:t>
      </w:r>
    </w:p>
    <w:p>
      <w:pPr>
        <w:spacing w:after="40"/>
        <w:ind w:left="620" w:hanging="260"/>
      </w:pPr>
      <w:r>
        <w:rPr>
          <w:rFonts w:ascii="Arial" w:hAnsi="Arial"/>
          <w:sz w:val="22"/>
        </w:rPr>
        <w:t xml:space="preserve">•  </w:t>
      </w:r>
      <w:r>
        <w:rPr>
          <w:rFonts w:ascii="Arial" w:hAnsi="Arial"/>
          <w:sz w:val="22"/>
        </w:rPr>
        <w:t>DPIA screening complete (</w:t>
      </w:r>
      <w:r>
        <w:rPr>
          <w:rFonts w:ascii="Consolas" w:hAnsi="Consolas"/>
          <w:rFonts w:ascii="Consolas" w:hAnsi="Consolas"/>
          <w:sz w:val="20"/>
        </w:rPr>
        <w:t>raid.md</w:t>
      </w:r>
      <w:r>
        <w:rPr>
          <w:rFonts w:ascii="Arial" w:hAnsi="Arial"/>
          <w:sz w:val="22"/>
        </w:rPr>
        <w:t xml:space="preserve"> D-003).</w:t>
      </w:r>
    </w:p>
    <w:p>
      <w:pPr>
        <w:spacing w:after="40"/>
        <w:ind w:left="620" w:hanging="260"/>
      </w:pPr>
      <w:r>
        <w:rPr>
          <w:rFonts w:ascii="Arial" w:hAnsi="Arial"/>
          <w:sz w:val="22"/>
        </w:rPr>
        <w:t xml:space="preserve">•  </w:t>
      </w:r>
      <w:r>
        <w:rPr>
          <w:rFonts w:ascii="Arial" w:hAnsi="Arial"/>
          <w:sz w:val="22"/>
        </w:rPr>
        <w:t>Certificate template + delivery mechanism decided and built (</w:t>
      </w:r>
      <w:r>
        <w:rPr>
          <w:rFonts w:ascii="Consolas" w:hAnsi="Consolas"/>
          <w:rFonts w:ascii="Consolas" w:hAnsi="Consolas"/>
          <w:sz w:val="20"/>
        </w:rPr>
        <w:t>requirements/functional.md</w:t>
      </w:r>
      <w:r>
        <w:rPr>
          <w:rFonts w:ascii="Arial" w:hAnsi="Arial"/>
          <w:sz w:val="22"/>
        </w:rPr>
        <w:t>).</w:t>
      </w:r>
    </w:p>
    <w:p>
      <w:pPr>
        <w:spacing w:after="40"/>
        <w:ind w:left="620" w:hanging="260"/>
      </w:pPr>
      <w:r>
        <w:rPr>
          <w:rFonts w:ascii="Arial" w:hAnsi="Arial"/>
          <w:sz w:val="22"/>
        </w:rPr>
        <w:t xml:space="preserve">•  </w:t>
      </w:r>
      <w:r>
        <w:rPr>
          <w:rFonts w:ascii="Arial" w:hAnsi="Arial"/>
          <w:sz w:val="22"/>
        </w:rPr>
        <w:t>OWASP ASVS 5.0 access-control/logging conformance checked against the built system (</w:t>
      </w:r>
      <w:r>
        <w:rPr>
          <w:rFonts w:ascii="Consolas" w:hAnsi="Consolas"/>
          <w:rFonts w:ascii="Consolas" w:hAnsi="Consolas"/>
          <w:sz w:val="20"/>
        </w:rPr>
        <w:t>adr/0004-sensitive-data-access-control.md</w:t>
      </w:r>
      <w:r>
        <w:rPr>
          <w:rFonts w:ascii="Arial" w:hAnsi="Arial"/>
          <w:sz w:val="22"/>
        </w:rPr>
        <w:t>).</w:t>
      </w:r>
    </w:p>
    <w:p>
      <w:pPr>
        <w:spacing w:after="40"/>
        <w:ind w:left="620" w:hanging="260"/>
      </w:pPr>
      <w:r>
        <w:rPr>
          <w:rFonts w:ascii="Arial" w:hAnsi="Arial"/>
          <w:sz w:val="22"/>
        </w:rPr>
        <w:t xml:space="preserve">•  </w:t>
      </w:r>
      <w:r>
        <w:rPr>
          <w:rFonts w:ascii="Arial" w:hAnsi="Arial"/>
          <w:sz w:val="22"/>
        </w:rPr>
        <w:t xml:space="preserve">All </w:t>
      </w:r>
      <w:r>
        <w:rPr>
          <w:rFonts w:ascii="Consolas" w:hAnsi="Consolas"/>
          <w:rFonts w:ascii="Consolas" w:hAnsi="Consolas"/>
          <w:sz w:val="20"/>
        </w:rPr>
        <w:t>TC-nnn</w:t>
      </w:r>
      <w:r>
        <w:rPr>
          <w:rFonts w:ascii="Arial" w:hAnsi="Arial"/>
          <w:sz w:val="22"/>
        </w:rPr>
        <w:t xml:space="preserve"> in </w:t>
      </w:r>
      <w:r>
        <w:rPr>
          <w:rFonts w:ascii="Consolas" w:hAnsi="Consolas"/>
          <w:rFonts w:ascii="Consolas" w:hAnsi="Consolas"/>
          <w:sz w:val="20"/>
        </w:rPr>
        <w:t>quality/test-plan.md</w:t>
      </w:r>
      <w:r>
        <w:rPr>
          <w:rFonts w:ascii="Arial" w:hAnsi="Arial"/>
          <w:sz w:val="22"/>
        </w:rPr>
        <w:t xml:space="preserve"> passing, RTM (</w:t>
      </w:r>
      <w:r>
        <w:rPr>
          <w:rFonts w:ascii="Consolas" w:hAnsi="Consolas"/>
          <w:rFonts w:ascii="Consolas" w:hAnsi="Consolas"/>
          <w:sz w:val="20"/>
        </w:rPr>
        <w:t>quality/traceability.md</w:t>
      </w:r>
      <w:r>
        <w:rPr>
          <w:rFonts w:ascii="Arial" w:hAnsi="Arial"/>
          <w:sz w:val="22"/>
        </w:rPr>
        <w:t>) complete.</w:t>
      </w:r>
    </w:p>
    <w:p>
      <w:pPr>
        <w:keepNext/>
        <w:spacing w:before="280" w:after="120"/>
        <w:outlineLvl w:val="0"/>
      </w:pPr>
      <w:r>
        <w:rPr>
          <w:rFonts w:ascii="Arial" w:hAnsi="Arial"/>
          <w:b/>
          <w:color w:val="111827"/>
          <w:sz w:val="32"/>
        </w:rPr>
        <w:t>Assumptions</w:t>
      </w:r>
    </w:p>
    <w:p>
      <w:pPr>
        <w:spacing w:after="120" w:before="0"/>
      </w:pPr>
      <w:r>
        <w:rPr>
          <w:rFonts w:ascii="Arial" w:hAnsi="Arial"/>
          <w:b w:val="0"/>
          <w:i w:val="0"/>
          <w:sz w:val="22"/>
        </w:rPr>
        <w:t>Assumptions are tracked as A-nnn entries in the RAID log (VLMS-RAID / docs/governance/raid.md). Source-specific assumptions are stated in the sections above.</w:t>
      </w:r>
    </w:p>
    <w:p>
      <w:pPr>
        <w:keepNext/>
        <w:spacing w:before="280" w:after="120"/>
        <w:outlineLvl w:val="0"/>
      </w:pPr>
      <w:r>
        <w:rPr>
          <w:rFonts w:ascii="Arial" w:hAnsi="Arial"/>
          <w:b/>
          <w:color w:val="111827"/>
          <w:sz w:val="32"/>
        </w:rPr>
        <w:t>Open Questions and [TBC] Gaps</w:t>
      </w:r>
    </w:p>
    <w:p>
      <w:pPr>
        <w:spacing w:after="120" w:before="0"/>
      </w:pPr>
      <w:r>
        <w:rPr>
          <w:rFonts w:ascii="Arial" w:hAnsi="Arial"/>
          <w:b w:val="0"/>
          <w:i w:val="0"/>
          <w:sz w:val="22"/>
        </w:rPr>
        <w:t>No [TBC] markers in the source markdown at this gate.</w:t>
      </w:r>
    </w:p>
    <w:p>
      <w:pPr>
        <w:keepNext/>
        <w:spacing w:before="280" w:after="120"/>
        <w:outlineLvl w:val="0"/>
      </w:pPr>
      <w:r>
        <w:rPr>
          <w:rFonts w:ascii="Arial" w:hAnsi="Arial"/>
          <w:b/>
          <w:color w:val="111827"/>
          <w:sz w:val="32"/>
        </w:rPr>
        <w:t>Glossary</w:t>
      </w:r>
    </w:p>
    <w:p>
      <w:pPr>
        <w:spacing w:after="120" w:before="0"/>
      </w:pPr>
      <w:r>
        <w:rPr>
          <w:rFonts w:ascii="Arial" w:hAnsi="Arial"/>
          <w:b w:val="0"/>
          <w:i w:val="0"/>
          <w:sz w:val="22"/>
        </w:rPr>
        <w:t>Terms are defined in the VLMS Glossary (VLMS-GLOS / docs/glossary.md).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440" w:bottom="1440" w:left="1440" w:header="560" w:footer="5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26" w:val="right"/>
      </w:tabs>
    </w:pPr>
    <w:r>
      <w:rPr>
        <w:rFonts w:ascii="Arial" w:hAnsi="Arial"/>
        <w:color w:val="6B7280"/>
        <w:sz w:val="16"/>
      </w:rPr>
      <w:t>VLMS Delivery Plan</w:t>
      <w:tab/>
    </w:r>
    <w:r>
      <w:rPr>
        <w:rFonts w:ascii="Arial" w:hAnsi="Arial"/>
        <w:color w:val="6B7280"/>
        <w:sz w:val="16"/>
      </w:rPr>
      <w:t xml:space="preserve">Page </w:t>
    </w:r>
    <w:r>
      <w:rPr>
        <w:rFonts w:ascii="Arial" w:hAnsi="Arial"/>
        <w:color w:val="6B7280"/>
        <w:sz w:val="16"/>
      </w:rP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0202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