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Glossary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Glossary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VLMS-GLOS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(ongoing)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docs/glossary.md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Terminology authority for the VLMS document corpus.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80"/>
      </w:pPr>
      <w:r>
        <w:rPr>
          <w:rFonts w:ascii="Arial" w:hAnsi="Arial"/>
          <w:sz w:val="22"/>
        </w:rPr>
        <w:t>Status: initial (design gate)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92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609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Varangians LMS — this project's name and document code.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Rank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level in the programme's progression ladder (e.g. Recruit through to Akolouthos).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unit of curriculum content, belonging to a Rank.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LessonChangeProposal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Teacher-submitted proposed create/edit/retire change to a Lesson, requiring Approver sign-off.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role that approves/rejects curriculum (lesson) changes only — no safeguarding, consent, or DBS privileges.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Officer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role (alongside Admin) with access to DBS checks and sensitive consent data.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StudentLessonCompletion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record of a Student completing a Lesson, marked by a Teacher.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Certificate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 auto-generated PDF document issued per lesson completion.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RankBadge / StudentBadge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badge associated with a Rank, awarded to a Student on promotion.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ConsentRecord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annual parental consent record for a Student (status/expiry, non-sensitive fields).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ConsentSensitiveDetails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medical/dietary-SEN/emergency-contact fields split out from ConsentRecord, restricted to Admin/Safeguarding Officer.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DBS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Disclosure and Barring Service (gov.uk) — the UK body whose checks are tracked against Teachers.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StudentGuardianLink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link between a Student and a ParentGuardian, created only by Admin/Teacher, never by parent self-service.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SensitiveDataAccessLog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audit trail of reads (not just writes) of DbsCheck/ConsentSensitiveDetails.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CIAM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Customer Identity and Access Management — the category of identity service Microsoft Entra External ID provides.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ACS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Communication Services — originally used for transactional email; replaced by SMTP/MailKit, then by Microsoft Graph sendMail (adr/0005-hosting-pivot-self-hosted-vps-postgresql.md and its amendment).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PWA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Progressive Web App — an installable, browser-based app; how VLMS's Blazor Web App reaches phone/tablet/browser from one codebase.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Architecture Decision Record (Nygard format) — see adr/.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 / FR / NFR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Business Requirement / Functional Requirement / Non-Functional Requirement — traceability ID prefixes used throughout docs/.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RTM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Requirements Traceability Matrix (quality/traceability.md).</w:t>
            </w:r>
          </w:p>
        </w:tc>
      </w:tr>
      <w:tr>
        <w:tc>
          <w:tcPr>
            <w:tcW w:type="dxa" w:w="292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RAID</w:t>
            </w:r>
          </w:p>
        </w:tc>
        <w:tc>
          <w:tcPr>
            <w:tcW w:type="dxa" w:w="60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Risks, Assumptions, Issues, Dependencies log (governance/raid.md).</w:t>
            </w:r>
          </w:p>
        </w:tc>
      </w:tr>
      <w:tr>
        <w:tc>
          <w:tcPr>
            <w:tcW w:type="dxa" w:w="292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WCAG</w:t>
            </w:r>
          </w:p>
        </w:tc>
        <w:tc>
          <w:tcPr>
            <w:tcW w:type="dxa" w:w="60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Web Content Accessibility Guidelines (2.2 AA is this project's confirmed conformance target).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[TBC] markers in the source markdown at this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Glossary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