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pPr>
      <w:r>
        <w:rPr>
          <w:rFonts w:ascii="Arial" w:hAnsi="Arial"/>
          <w:b/>
          <w:i w:val="0"/>
          <w:color w:val="1F2937"/>
          <w:sz w:val="48"/>
        </w:rPr>
        <w:t>VLMS Low-Level Design</w:t>
      </w:r>
    </w:p>
    <w:p>
      <w:pPr>
        <w:spacing w:after="40" w:before="0"/>
      </w:pPr>
      <w:r>
        <w:rPr>
          <w:rFonts w:ascii="Arial" w:hAnsi="Arial"/>
          <w:b w:val="0"/>
          <w:i w:val="0"/>
          <w:color w:val="374151"/>
          <w:sz w:val="24"/>
        </w:rPr>
        <w:t>Varangians LMS – Delivery Gate</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4513"/>
        <w:gridCol w:w="4513"/>
      </w:tblGrid>
      <w:tr>
        <w:tc>
          <w:tcPr>
            <w:tcW w:type="dxa" w:w="2400"/>
            <w:shd w:val="clear" w:color="auto" w:fill="374151"/>
          </w:tcPr>
          <w:p>
            <w:pPr>
              <w:spacing w:after="40" w:before="40"/>
            </w:pPr>
            <w:r>
              <w:rPr>
                <w:rFonts w:ascii="Arial" w:hAnsi="Arial"/>
                <w:b/>
                <w:color w:val="FFFFFF"/>
                <w:sz w:val="20"/>
              </w:rPr>
              <w:t>Field</w:t>
            </w:r>
          </w:p>
        </w:tc>
        <w:tc>
          <w:tcPr>
            <w:tcW w:type="dxa" w:w="6626"/>
            <w:shd w:val="clear" w:color="auto" w:fill="374151"/>
          </w:tcPr>
          <w:p>
            <w:pPr>
              <w:spacing w:after="40" w:before="40"/>
            </w:pPr>
            <w:r>
              <w:rPr>
                <w:rFonts w:ascii="Arial" w:hAnsi="Arial"/>
                <w:b/>
                <w:color w:val="FFFFFF"/>
                <w:sz w:val="20"/>
              </w:rPr>
              <w:t>Detail</w:t>
            </w:r>
          </w:p>
        </w:tc>
      </w:tr>
      <w:tr>
        <w:tc>
          <w:tcPr>
            <w:tcW w:type="dxa" w:w="2400"/>
            <w:shd w:val="clear" w:color="auto" w:fill="F3F4F6"/>
          </w:tcPr>
          <w:p>
            <w:pPr>
              <w:spacing w:after="40" w:before="40"/>
            </w:pPr>
            <w:r>
              <w:rPr>
                <w:rFonts w:ascii="Arial" w:hAnsi="Arial"/>
                <w:sz w:val="20"/>
              </w:rPr>
              <w:t>Document</w:t>
            </w:r>
          </w:p>
        </w:tc>
        <w:tc>
          <w:tcPr>
            <w:tcW w:type="dxa" w:w="6626"/>
            <w:shd w:val="clear" w:color="auto" w:fill="F3F4F6"/>
          </w:tcPr>
          <w:p>
            <w:pPr>
              <w:spacing w:after="40" w:before="40"/>
            </w:pPr>
            <w:r>
              <w:rPr>
                <w:rFonts w:ascii="Arial" w:hAnsi="Arial"/>
                <w:sz w:val="20"/>
              </w:rPr>
              <w:t>VLMS Low-Level Design</w:t>
            </w:r>
          </w:p>
        </w:tc>
      </w:tr>
      <w:tr>
        <w:tc>
          <w:tcPr>
            <w:tcW w:type="dxa" w:w="2400"/>
            <w:shd w:val="clear" w:color="auto" w:fill="FFFFFF"/>
          </w:tcPr>
          <w:p>
            <w:pPr>
              <w:spacing w:after="40" w:before="40"/>
            </w:pPr>
            <w:r>
              <w:rPr>
                <w:rFonts w:ascii="Arial" w:hAnsi="Arial"/>
                <w:sz w:val="20"/>
              </w:rPr>
              <w:t>Document code</w:t>
            </w:r>
          </w:p>
        </w:tc>
        <w:tc>
          <w:tcPr>
            <w:tcW w:type="dxa" w:w="6626"/>
            <w:shd w:val="clear" w:color="auto" w:fill="FFFFFF"/>
          </w:tcPr>
          <w:p>
            <w:pPr>
              <w:spacing w:after="40" w:before="40"/>
            </w:pPr>
            <w:r>
              <w:rPr>
                <w:rFonts w:ascii="Arial" w:hAnsi="Arial"/>
                <w:sz w:val="20"/>
              </w:rPr>
              <w:t>VLMS-LLD</w:t>
            </w:r>
          </w:p>
        </w:tc>
      </w:tr>
      <w:tr>
        <w:tc>
          <w:tcPr>
            <w:tcW w:type="dxa" w:w="2400"/>
            <w:shd w:val="clear" w:color="auto" w:fill="F3F4F6"/>
          </w:tcPr>
          <w:p>
            <w:pPr>
              <w:spacing w:after="40" w:before="40"/>
            </w:pPr>
            <w:r>
              <w:rPr>
                <w:rFonts w:ascii="Arial" w:hAnsi="Arial"/>
                <w:sz w:val="20"/>
              </w:rPr>
              <w:t>Version</w:t>
            </w:r>
          </w:p>
        </w:tc>
        <w:tc>
          <w:tcPr>
            <w:tcW w:type="dxa" w:w="6626"/>
            <w:shd w:val="clear" w:color="auto" w:fill="F3F4F6"/>
          </w:tcPr>
          <w:p>
            <w:pPr>
              <w:spacing w:after="40" w:before="40"/>
            </w:pPr>
            <w:r>
              <w:rPr>
                <w:rFonts w:ascii="Arial" w:hAnsi="Arial"/>
                <w:sz w:val="20"/>
              </w:rPr>
              <w:t>2.0</w:t>
            </w:r>
          </w:p>
        </w:tc>
      </w:tr>
      <w:tr>
        <w:tc>
          <w:tcPr>
            <w:tcW w:type="dxa" w:w="2400"/>
            <w:shd w:val="clear" w:color="auto" w:fill="FFFFFF"/>
          </w:tcPr>
          <w:p>
            <w:pPr>
              <w:spacing w:after="40" w:before="40"/>
            </w:pPr>
            <w:r>
              <w:rPr>
                <w:rFonts w:ascii="Arial" w:hAnsi="Arial"/>
                <w:sz w:val="20"/>
              </w:rPr>
              <w:t>Status</w:t>
            </w:r>
          </w:p>
        </w:tc>
        <w:tc>
          <w:tcPr>
            <w:tcW w:type="dxa" w:w="6626"/>
            <w:shd w:val="clear" w:color="auto" w:fill="FFFFFF"/>
          </w:tcPr>
          <w:p>
            <w:pPr>
              <w:spacing w:after="40" w:before="40"/>
            </w:pPr>
            <w:r>
              <w:rPr>
                <w:rFonts w:ascii="Arial" w:hAnsi="Arial"/>
                <w:sz w:val="20"/>
              </w:rPr>
              <w:t>Delivery gate edition</w:t>
            </w:r>
          </w:p>
        </w:tc>
      </w:tr>
      <w:tr>
        <w:tc>
          <w:tcPr>
            <w:tcW w:type="dxa" w:w="2400"/>
            <w:shd w:val="clear" w:color="auto" w:fill="F3F4F6"/>
          </w:tcPr>
          <w:p>
            <w:pPr>
              <w:spacing w:after="40" w:before="40"/>
            </w:pPr>
            <w:r>
              <w:rPr>
                <w:rFonts w:ascii="Arial" w:hAnsi="Arial"/>
                <w:sz w:val="20"/>
              </w:rPr>
              <w:t>Date</w:t>
            </w:r>
          </w:p>
        </w:tc>
        <w:tc>
          <w:tcPr>
            <w:tcW w:type="dxa" w:w="6626"/>
            <w:shd w:val="clear" w:color="auto" w:fill="F3F4F6"/>
          </w:tcPr>
          <w:p>
            <w:pPr>
              <w:spacing w:after="40" w:before="40"/>
            </w:pPr>
            <w:r>
              <w:rPr>
                <w:rFonts w:ascii="Arial" w:hAnsi="Arial"/>
                <w:sz w:val="20"/>
              </w:rPr>
              <w:t>13 October 2026</w:t>
            </w:r>
          </w:p>
        </w:tc>
      </w:tr>
      <w:tr>
        <w:tc>
          <w:tcPr>
            <w:tcW w:type="dxa" w:w="2400"/>
            <w:shd w:val="clear" w:color="auto" w:fill="FFFFFF"/>
          </w:tcPr>
          <w:p>
            <w:pPr>
              <w:spacing w:after="40" w:before="40"/>
            </w:pPr>
            <w:r>
              <w:rPr>
                <w:rFonts w:ascii="Arial" w:hAnsi="Arial"/>
                <w:sz w:val="20"/>
              </w:rPr>
              <w:t>Author</w:t>
            </w:r>
          </w:p>
        </w:tc>
        <w:tc>
          <w:tcPr>
            <w:tcW w:type="dxa" w:w="6626"/>
            <w:shd w:val="clear" w:color="auto" w:fill="FFFFFF"/>
          </w:tcPr>
          <w:p>
            <w:pPr>
              <w:spacing w:after="40" w:before="40"/>
            </w:pPr>
            <w:r>
              <w:rPr>
                <w:rFonts w:ascii="Arial" w:hAnsi="Arial"/>
                <w:sz w:val="20"/>
              </w:rPr>
              <w:t>Philip</w:t>
            </w:r>
          </w:p>
        </w:tc>
      </w:tr>
      <w:tr>
        <w:tc>
          <w:tcPr>
            <w:tcW w:type="dxa" w:w="2400"/>
            <w:shd w:val="clear" w:color="auto" w:fill="F3F4F6"/>
          </w:tcPr>
          <w:p>
            <w:pPr>
              <w:spacing w:after="40" w:before="40"/>
            </w:pPr>
            <w:r>
              <w:rPr>
                <w:rFonts w:ascii="Arial" w:hAnsi="Arial"/>
                <w:sz w:val="20"/>
              </w:rPr>
              <w:t>Reviewers</w:t>
            </w:r>
          </w:p>
        </w:tc>
        <w:tc>
          <w:tcPr>
            <w:tcW w:type="dxa" w:w="6626"/>
            <w:shd w:val="clear" w:color="auto" w:fill="F3F4F6"/>
          </w:tcPr>
          <w:p>
            <w:pPr>
              <w:spacing w:after="40" w:before="40"/>
            </w:pPr>
            <w:r>
              <w:rPr>
                <w:rFonts w:ascii="Arial" w:hAnsi="Arial"/>
                <w:sz w:val="20"/>
              </w:rPr>
              <w:t>Philip (sole reviewer / approver)</w:t>
            </w:r>
          </w:p>
        </w:tc>
      </w:tr>
      <w:tr>
        <w:tc>
          <w:tcPr>
            <w:tcW w:type="dxa" w:w="2400"/>
            <w:shd w:val="clear" w:color="auto" w:fill="FFFFFF"/>
          </w:tcPr>
          <w:p>
            <w:pPr>
              <w:spacing w:after="40" w:before="40"/>
            </w:pPr>
            <w:r>
              <w:rPr>
                <w:rFonts w:ascii="Arial" w:hAnsi="Arial"/>
                <w:sz w:val="20"/>
              </w:rPr>
              <w:t>Approver</w:t>
            </w:r>
          </w:p>
        </w:tc>
        <w:tc>
          <w:tcPr>
            <w:tcW w:type="dxa" w:w="6626"/>
            <w:shd w:val="clear" w:color="auto" w:fill="FFFFFF"/>
          </w:tcPr>
          <w:p>
            <w:pPr>
              <w:spacing w:after="40" w:before="40"/>
            </w:pPr>
            <w:r>
              <w:rPr>
                <w:rFonts w:ascii="Arial" w:hAnsi="Arial"/>
                <w:sz w:val="20"/>
              </w:rPr>
              <w:t>[TBC]</w:t>
            </w:r>
          </w:p>
        </w:tc>
      </w:tr>
      <w:tr>
        <w:tc>
          <w:tcPr>
            <w:tcW w:type="dxa" w:w="2400"/>
            <w:shd w:val="clear" w:color="auto" w:fill="F3F4F6"/>
          </w:tcPr>
          <w:p>
            <w:pPr>
              <w:spacing w:after="40" w:before="40"/>
            </w:pPr>
            <w:r>
              <w:rPr>
                <w:rFonts w:ascii="Arial" w:hAnsi="Arial"/>
                <w:sz w:val="20"/>
              </w:rPr>
              <w:t>Scope / phase</w:t>
            </w:r>
          </w:p>
        </w:tc>
        <w:tc>
          <w:tcPr>
            <w:tcW w:type="dxa" w:w="6626"/>
            <w:shd w:val="clear" w:color="auto" w:fill="F3F4F6"/>
          </w:tcPr>
          <w:p>
            <w:pPr>
              <w:spacing w:after="40" w:before="40"/>
            </w:pPr>
            <w:r>
              <w:rPr>
                <w:rFonts w:ascii="Arial" w:hAnsi="Arial"/>
                <w:sz w:val="20"/>
              </w:rPr>
              <w:t>Delivery gate (finalised)</w:t>
            </w:r>
          </w:p>
        </w:tc>
      </w:tr>
      <w:tr>
        <w:tc>
          <w:tcPr>
            <w:tcW w:type="dxa" w:w="2400"/>
            <w:shd w:val="clear" w:color="auto" w:fill="FFFFFF"/>
          </w:tcPr>
          <w:p>
            <w:pPr>
              <w:spacing w:after="40" w:before="40"/>
            </w:pPr>
            <w:r>
              <w:rPr>
                <w:rFonts w:ascii="Arial" w:hAnsi="Arial"/>
                <w:sz w:val="20"/>
              </w:rPr>
              <w:t>Related documents</w:t>
            </w:r>
          </w:p>
        </w:tc>
        <w:tc>
          <w:tcPr>
            <w:tcW w:type="dxa" w:w="6626"/>
            <w:shd w:val="clear" w:color="auto" w:fill="FFFFFF"/>
          </w:tcPr>
          <w:p>
            <w:pPr>
              <w:spacing w:after="40" w:before="40"/>
            </w:pPr>
            <w:r>
              <w:rPr>
                <w:rFonts w:ascii="Arial" w:hAnsi="Arial"/>
                <w:sz w:val="20"/>
              </w:rPr>
              <w:t>docs/design/low-level-design.md, docs/design/data-design.md, docs/design/integration.md</w:t>
            </w:r>
          </w:p>
        </w:tc>
      </w:tr>
    </w:tbl>
    <w:p>
      <w:pPr>
        <w:spacing w:after="80"/>
      </w:pPr>
    </w:p>
    <w:p>
      <w:pPr>
        <w:keepNext/>
        <w:spacing w:before="200" w:after="80"/>
        <w:outlineLvl w:val="1"/>
      </w:pPr>
      <w:r>
        <w:rPr>
          <w:rFonts w:ascii="Arial" w:hAnsi="Arial"/>
          <w:b/>
          <w:color w:val="1F2937"/>
          <w:sz w:val="26"/>
        </w:rPr>
        <w:t>Change History</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2256"/>
        <w:gridCol w:w="2256"/>
        <w:gridCol w:w="2256"/>
        <w:gridCol w:w="2256"/>
      </w:tblGrid>
      <w:tr>
        <w:tc>
          <w:tcPr>
            <w:tcW w:type="dxa" w:w="1150"/>
            <w:shd w:val="clear" w:color="auto" w:fill="374151"/>
          </w:tcPr>
          <w:p>
            <w:pPr>
              <w:spacing w:after="40" w:before="40"/>
            </w:pPr>
            <w:r>
              <w:rPr>
                <w:rFonts w:ascii="Arial" w:hAnsi="Arial"/>
                <w:b/>
                <w:color w:val="FFFFFF"/>
                <w:sz w:val="20"/>
              </w:rPr>
              <w:t>Version</w:t>
            </w:r>
          </w:p>
        </w:tc>
        <w:tc>
          <w:tcPr>
            <w:tcW w:type="dxa" w:w="1500"/>
            <w:shd w:val="clear" w:color="auto" w:fill="374151"/>
          </w:tcPr>
          <w:p>
            <w:pPr>
              <w:spacing w:after="40" w:before="40"/>
            </w:pPr>
            <w:r>
              <w:rPr>
                <w:rFonts w:ascii="Arial" w:hAnsi="Arial"/>
                <w:b/>
                <w:color w:val="FFFFFF"/>
                <w:sz w:val="20"/>
              </w:rPr>
              <w:t>Date</w:t>
            </w:r>
          </w:p>
        </w:tc>
        <w:tc>
          <w:tcPr>
            <w:tcW w:type="dxa" w:w="2700"/>
            <w:shd w:val="clear" w:color="auto" w:fill="374151"/>
          </w:tcPr>
          <w:p>
            <w:pPr>
              <w:spacing w:after="40" w:before="40"/>
            </w:pPr>
            <w:r>
              <w:rPr>
                <w:rFonts w:ascii="Arial" w:hAnsi="Arial"/>
                <w:b/>
                <w:color w:val="FFFFFF"/>
                <w:sz w:val="20"/>
              </w:rPr>
              <w:t>Author</w:t>
            </w:r>
          </w:p>
        </w:tc>
        <w:tc>
          <w:tcPr>
            <w:tcW w:type="dxa" w:w="3676"/>
            <w:shd w:val="clear" w:color="auto" w:fill="374151"/>
          </w:tcPr>
          <w:p>
            <w:pPr>
              <w:spacing w:after="40" w:before="40"/>
            </w:pPr>
            <w:r>
              <w:rPr>
                <w:rFonts w:ascii="Arial" w:hAnsi="Arial"/>
                <w:b/>
                <w:color w:val="FFFFFF"/>
                <w:sz w:val="20"/>
              </w:rPr>
              <w:t>Summary</w:t>
            </w:r>
          </w:p>
        </w:tc>
      </w:tr>
      <w:tr>
        <w:tc>
          <w:tcPr>
            <w:tcW w:type="dxa" w:w="1150"/>
            <w:shd w:val="clear" w:color="auto" w:fill="F3F4F6"/>
          </w:tcPr>
          <w:p>
            <w:pPr>
              <w:spacing w:after="40" w:before="40"/>
            </w:pPr>
            <w:r>
              <w:rPr>
                <w:rFonts w:ascii="Arial" w:hAnsi="Arial"/>
                <w:sz w:val="20"/>
              </w:rPr>
              <w:t>2.0</w:t>
            </w:r>
          </w:p>
        </w:tc>
        <w:tc>
          <w:tcPr>
            <w:tcW w:type="dxa" w:w="1500"/>
            <w:shd w:val="clear" w:color="auto" w:fill="F3F4F6"/>
          </w:tcPr>
          <w:p>
            <w:pPr>
              <w:spacing w:after="40" w:before="40"/>
            </w:pPr>
            <w:r>
              <w:rPr>
                <w:rFonts w:ascii="Arial" w:hAnsi="Arial"/>
                <w:sz w:val="20"/>
              </w:rPr>
              <w:t>13 October 2026</w:t>
            </w:r>
          </w:p>
        </w:tc>
        <w:tc>
          <w:tcPr>
            <w:tcW w:type="dxa" w:w="2700"/>
            <w:shd w:val="clear" w:color="auto" w:fill="F3F4F6"/>
          </w:tcPr>
          <w:p>
            <w:pPr>
              <w:spacing w:after="40" w:before="40"/>
            </w:pPr>
            <w:r>
              <w:rPr>
                <w:rFonts w:ascii="Arial" w:hAnsi="Arial"/>
                <w:sz w:val="20"/>
              </w:rPr>
              <w:t>Philip</w:t>
            </w:r>
          </w:p>
        </w:tc>
        <w:tc>
          <w:tcPr>
            <w:tcW w:type="dxa" w:w="3676"/>
            <w:shd w:val="clear" w:color="auto" w:fill="F3F4F6"/>
          </w:tcPr>
          <w:p>
            <w:pPr>
              <w:spacing w:after="40" w:before="40"/>
            </w:pPr>
            <w:r>
              <w:rPr>
                <w:rFonts w:ascii="Arial" w:hAnsi="Arial"/>
                <w:sz w:val="20"/>
              </w:rPr>
              <w:t>Delivery gate edition, rendered from docs/ working markdown (supersedes design gate edition where one exists).</w:t>
            </w:r>
          </w:p>
        </w:tc>
      </w:tr>
    </w:tbl>
    <w:p>
      <w:pPr>
        <w:spacing w:after="80"/>
      </w:pPr>
    </w:p>
    <w:p>
      <w:r>
        <w:br w:type="page"/>
      </w:r>
    </w:p>
    <w:p>
      <w:pPr>
        <w:keepNext/>
        <w:spacing w:before="280" w:after="120"/>
        <w:outlineLvl w:val="0"/>
      </w:pPr>
      <w:r>
        <w:rPr>
          <w:rFonts w:ascii="Arial" w:hAnsi="Arial"/>
          <w:b/>
          <w:color w:val="111827"/>
          <w:sz w:val="32"/>
        </w:rPr>
        <w:t>Contents</w:t>
      </w:r>
    </w:p>
    <w:p>
      <w:fldSimple w:instr="TOC \o &quot;1-2&quot; \h \z \u">
        <w:r>
          <w:t>Right-click and choose "Update Field" to build the contents.</w:t>
        </w:r>
      </w:fldSimple>
    </w:p>
    <w:p>
      <w:r>
        <w:br w:type="page"/>
      </w:r>
    </w:p>
    <w:p>
      <w:pPr>
        <w:keepNext/>
        <w:spacing w:before="280" w:after="120"/>
        <w:outlineLvl w:val="0"/>
      </w:pPr>
      <w:r>
        <w:rPr>
          <w:rFonts w:ascii="Arial" w:hAnsi="Arial"/>
          <w:b/>
          <w:color w:val="111827"/>
          <w:sz w:val="32"/>
        </w:rPr>
        <w:t>Standards and Conformance</w:t>
      </w:r>
    </w:p>
    <w:p>
      <w:pPr>
        <w:spacing w:after="120" w:before="0"/>
      </w:pPr>
      <w:r>
        <w:rPr>
          <w:rFonts w:ascii="Arial" w:hAnsi="Arial"/>
          <w:b w:val="0"/>
          <w:i w:val="0"/>
          <w:sz w:val="22"/>
        </w:rPr>
        <w:t>This document satisfies or is consistent with: ISO/IEC/IEEE 42010:2022 (architecture description) with C4/arc42.</w:t>
      </w:r>
    </w:p>
    <w:p>
      <w:pPr>
        <w:spacing w:after="120" w:before="0"/>
      </w:pPr>
      <w:r>
        <w:rPr>
          <w:rFonts w:ascii="Arial" w:hAnsi="Arial"/>
          <w:b w:val="0"/>
          <w:i/>
          <w:sz w:val="20"/>
        </w:rPr>
        <w:t>Generated from the working markdown listed in Related documents; the markdown is authoritative. Status of source material is reproduced as written in each source.</w:t>
      </w:r>
    </w:p>
    <w:p>
      <w:pPr>
        <w:keepNext/>
        <w:spacing w:before="280" w:after="120"/>
        <w:outlineLvl w:val="0"/>
      </w:pPr>
      <w:r>
        <w:rPr>
          <w:rFonts w:ascii="Arial" w:hAnsi="Arial"/>
          <w:b/>
          <w:color w:val="111827"/>
          <w:sz w:val="32"/>
        </w:rPr>
        <w:t>Low-Level Design</w:t>
      </w:r>
    </w:p>
    <w:p>
      <w:pPr>
        <w:spacing w:after="80"/>
      </w:pPr>
      <w:r>
        <w:rPr>
          <w:rFonts w:ascii="Arial" w:hAnsi="Arial"/>
          <w:sz w:val="22"/>
        </w:rPr>
        <w:t>Status: in progress</w:t>
      </w:r>
    </w:p>
    <w:p>
      <w:pPr>
        <w:keepNext/>
        <w:spacing w:before="200" w:after="80"/>
        <w:outlineLvl w:val="1"/>
      </w:pPr>
      <w:r>
        <w:rPr>
          <w:rFonts w:ascii="Arial" w:hAnsi="Arial"/>
          <w:b/>
          <w:color w:val="1F2937"/>
          <w:sz w:val="26"/>
        </w:rPr>
        <w:t>Solution structure</w:t>
      </w:r>
    </w:p>
    <w:p>
      <w:pPr>
        <w:spacing w:after="40"/>
        <w:ind w:left="620" w:hanging="260"/>
      </w:pPr>
      <w:r>
        <w:rPr>
          <w:rFonts w:ascii="Arial" w:hAnsi="Arial"/>
          <w:sz w:val="22"/>
        </w:rPr>
        <w:t xml:space="preserve">•  </w:t>
      </w:r>
      <w:r>
        <w:rPr>
          <w:rFonts w:ascii="Consolas" w:hAnsi="Consolas"/>
          <w:rFonts w:ascii="Consolas" w:hAnsi="Consolas"/>
          <w:sz w:val="20"/>
        </w:rPr>
        <w:t>Vlms.Web</w:t>
      </w:r>
      <w:r>
        <w:rPr>
          <w:rFonts w:ascii="Arial" w:hAnsi="Arial"/>
          <w:sz w:val="22"/>
        </w:rPr>
        <w:t xml:space="preserve"> — the Blazor Web App (UI, Razor components, authorization policies).</w:t>
      </w:r>
    </w:p>
    <w:p>
      <w:pPr>
        <w:spacing w:after="40"/>
        <w:ind w:left="620" w:hanging="260"/>
      </w:pPr>
      <w:r>
        <w:rPr>
          <w:rFonts w:ascii="Arial" w:hAnsi="Arial"/>
          <w:sz w:val="22"/>
        </w:rPr>
        <w:t xml:space="preserve">•  </w:t>
      </w:r>
      <w:r>
        <w:rPr>
          <w:rFonts w:ascii="Consolas" w:hAnsi="Consolas"/>
          <w:rFonts w:ascii="Consolas" w:hAnsi="Consolas"/>
          <w:sz w:val="20"/>
        </w:rPr>
        <w:t>Vlms.Domain</w:t>
      </w:r>
      <w:r>
        <w:rPr>
          <w:rFonts w:ascii="Arial" w:hAnsi="Arial"/>
          <w:sz w:val="22"/>
        </w:rPr>
        <w:t xml:space="preserve"> — entities (</w:t>
      </w:r>
      <w:r>
        <w:rPr>
          <w:rFonts w:ascii="Consolas" w:hAnsi="Consolas"/>
          <w:rFonts w:ascii="Consolas" w:hAnsi="Consolas"/>
          <w:sz w:val="20"/>
        </w:rPr>
        <w:t>data-design.md</w:t>
      </w:r>
      <w:r>
        <w:rPr>
          <w:rFonts w:ascii="Arial" w:hAnsi="Arial"/>
          <w:sz w:val="22"/>
        </w:rPr>
        <w:t>), domain logic (promotion rules, proposal state machine).</w:t>
      </w:r>
    </w:p>
    <w:p>
      <w:pPr>
        <w:spacing w:after="40"/>
        <w:ind w:left="620" w:hanging="260"/>
      </w:pPr>
      <w:r>
        <w:rPr>
          <w:rFonts w:ascii="Arial" w:hAnsi="Arial"/>
          <w:sz w:val="22"/>
        </w:rPr>
        <w:t xml:space="preserve">•  </w:t>
      </w:r>
      <w:r>
        <w:rPr>
          <w:rFonts w:ascii="Consolas" w:hAnsi="Consolas"/>
          <w:rFonts w:ascii="Consolas" w:hAnsi="Consolas"/>
          <w:sz w:val="20"/>
        </w:rPr>
        <w:t>Vlms.Infrastructure</w:t>
      </w:r>
      <w:r>
        <w:rPr>
          <w:rFonts w:ascii="Arial" w:hAnsi="Arial"/>
          <w:sz w:val="22"/>
        </w:rPr>
        <w:t xml:space="preserve"> — EF Core </w:t>
      </w:r>
      <w:r>
        <w:rPr>
          <w:rFonts w:ascii="Consolas" w:hAnsi="Consolas"/>
          <w:rFonts w:ascii="Consolas" w:hAnsi="Consolas"/>
          <w:sz w:val="20"/>
        </w:rPr>
        <w:t>DbContext</w:t>
      </w:r>
      <w:r>
        <w:rPr>
          <w:rFonts w:ascii="Arial" w:hAnsi="Arial"/>
          <w:sz w:val="22"/>
        </w:rPr>
        <w:t xml:space="preserve"> (Npgsql/PostgreSQL), self-rolled ASP.NET Core Identity wiring, local-disk file storage client, Microsoft Graph email client (</w:t>
      </w:r>
      <w:r>
        <w:rPr>
          <w:rFonts w:ascii="Consolas" w:hAnsi="Consolas"/>
          <w:rFonts w:ascii="Consolas" w:hAnsi="Consolas"/>
          <w:sz w:val="20"/>
        </w:rPr>
        <w:t>GraphEmailSender</w:t>
      </w:r>
      <w:r>
        <w:rPr>
          <w:rFonts w:ascii="Arial" w:hAnsi="Arial"/>
          <w:sz w:val="22"/>
        </w:rPr>
        <w:t>), QuestPDF certificate generation.</w:t>
      </w:r>
    </w:p>
    <w:p>
      <w:pPr>
        <w:spacing w:after="40"/>
        <w:ind w:left="620" w:hanging="260"/>
      </w:pPr>
      <w:r>
        <w:rPr>
          <w:rFonts w:ascii="Arial" w:hAnsi="Arial"/>
          <w:sz w:val="22"/>
        </w:rPr>
        <w:t xml:space="preserve">•  </w:t>
      </w:r>
      <w:r>
        <w:rPr>
          <w:rFonts w:ascii="Consolas" w:hAnsi="Consolas"/>
          <w:rFonts w:ascii="Consolas" w:hAnsi="Consolas"/>
          <w:sz w:val="20"/>
        </w:rPr>
        <w:t>Vlms.Jobs</w:t>
      </w:r>
      <w:r>
        <w:rPr>
          <w:rFonts w:ascii="Arial" w:hAnsi="Arial"/>
          <w:sz w:val="22"/>
        </w:rPr>
        <w:t xml:space="preserve"> — the scheduled-work console host (</w:t>
      </w:r>
      <w:r>
        <w:rPr>
          <w:rFonts w:ascii="Consolas" w:hAnsi="Consolas"/>
          <w:rFonts w:ascii="Consolas" w:hAnsi="Consolas"/>
          <w:sz w:val="20"/>
        </w:rPr>
        <w:t>ConsentExpiryJob</w:t>
      </w:r>
      <w:r>
        <w:rPr>
          <w:rFonts w:ascii="Arial" w:hAnsi="Arial"/>
          <w:sz w:val="22"/>
        </w:rPr>
        <w:t xml:space="preserve">), invoked daily by a systemd timer on the self-hosted VPS, independent of </w:t>
      </w:r>
      <w:r>
        <w:rPr>
          <w:rFonts w:ascii="Consolas" w:hAnsi="Consolas"/>
          <w:rFonts w:ascii="Consolas" w:hAnsi="Consolas"/>
          <w:sz w:val="20"/>
        </w:rPr>
        <w:t>Vlms.Web</w:t>
      </w:r>
      <w:r>
        <w:rPr>
          <w:rFonts w:ascii="Arial" w:hAnsi="Arial"/>
          <w:sz w:val="22"/>
        </w:rPr>
        <w:t xml:space="preserve"> — see </w:t>
      </w:r>
      <w:r>
        <w:rPr>
          <w:rFonts w:ascii="Consolas" w:hAnsi="Consolas"/>
          <w:rFonts w:ascii="Consolas" w:hAnsi="Consolas"/>
          <w:sz w:val="20"/>
        </w:rPr>
        <w:t>adr/0003-scheduled-jobs-webjobs.md</w:t>
      </w:r>
      <w:r>
        <w:rPr>
          <w:rFonts w:ascii="Arial" w:hAnsi="Arial"/>
          <w:sz w:val="22"/>
        </w:rPr>
        <w:t xml:space="preserve"> as amended by </w:t>
      </w:r>
      <w:r>
        <w:rPr>
          <w:rFonts w:ascii="Consolas" w:hAnsi="Consolas"/>
          <w:rFonts w:ascii="Consolas" w:hAnsi="Consolas"/>
          <w:sz w:val="20"/>
        </w:rPr>
        <w:t>adr/0005-hosting-pivot-self-hosted-vps-postgresql.md</w:t>
      </w:r>
      <w:r>
        <w:rPr>
          <w:rFonts w:ascii="Arial" w:hAnsi="Arial"/>
          <w:sz w:val="22"/>
        </w:rPr>
        <w:t>.</w:t>
      </w:r>
    </w:p>
    <w:p>
      <w:pPr>
        <w:spacing w:after="40"/>
        <w:ind w:left="620" w:hanging="260"/>
      </w:pPr>
      <w:r>
        <w:rPr>
          <w:rFonts w:ascii="Arial" w:hAnsi="Arial"/>
          <w:sz w:val="22"/>
        </w:rPr>
        <w:t xml:space="preserve">•  </w:t>
      </w:r>
      <w:r>
        <w:rPr>
          <w:rFonts w:ascii="Consolas" w:hAnsi="Consolas"/>
          <w:rFonts w:ascii="Consolas" w:hAnsi="Consolas"/>
          <w:sz w:val="20"/>
        </w:rPr>
        <w:t>Vlms.Tests</w:t>
      </w:r>
      <w:r>
        <w:rPr>
          <w:rFonts w:ascii="Arial" w:hAnsi="Arial"/>
          <w:sz w:val="22"/>
        </w:rPr>
        <w:t xml:space="preserve"> — unit/integration tests (see </w:t>
      </w:r>
      <w:r>
        <w:rPr>
          <w:rFonts w:ascii="Consolas" w:hAnsi="Consolas"/>
          <w:rFonts w:ascii="Consolas" w:hAnsi="Consolas"/>
          <w:sz w:val="20"/>
        </w:rPr>
        <w:t>quality/test-plan.md</w:t>
      </w:r>
      <w:r>
        <w:rPr>
          <w:rFonts w:ascii="Arial" w:hAnsi="Arial"/>
          <w:sz w:val="22"/>
        </w:rPr>
        <w:t>).</w:t>
      </w:r>
    </w:p>
    <w:p>
      <w:pPr>
        <w:spacing w:after="80"/>
      </w:pPr>
      <w:r>
        <w:rPr>
          <w:rFonts w:ascii="Arial" w:hAnsi="Arial"/>
          <w:sz w:val="22"/>
        </w:rPr>
        <w:t xml:space="preserve">No separate public API project — per </w:t>
      </w:r>
      <w:r>
        <w:rPr>
          <w:rFonts w:ascii="Consolas" w:hAnsi="Consolas"/>
          <w:rFonts w:ascii="Consolas" w:hAnsi="Consolas"/>
          <w:sz w:val="20"/>
        </w:rPr>
        <w:t>design/integration.md</w:t>
      </w:r>
      <w:r>
        <w:rPr>
          <w:rFonts w:ascii="Arial" w:hAnsi="Arial"/>
          <w:sz w:val="22"/>
        </w:rPr>
        <w:t xml:space="preserve">, VLMS is standalone with no external system needing programmatic access. If that changes, a </w:t>
      </w:r>
      <w:r>
        <w:rPr>
          <w:rFonts w:ascii="Consolas" w:hAnsi="Consolas"/>
          <w:rFonts w:ascii="Consolas" w:hAnsi="Consolas"/>
          <w:sz w:val="20"/>
        </w:rPr>
        <w:t>Vlms.Api</w:t>
      </w:r>
      <w:r>
        <w:rPr>
          <w:rFonts w:ascii="Arial" w:hAnsi="Arial"/>
          <w:sz w:val="22"/>
        </w:rPr>
        <w:t xml:space="preserve"> project can be split out later without redesigning the domain/infrastructure layers.</w:t>
      </w:r>
    </w:p>
    <w:p>
      <w:pPr>
        <w:keepNext/>
        <w:spacing w:before="200" w:after="80"/>
        <w:outlineLvl w:val="1"/>
      </w:pPr>
      <w:r>
        <w:rPr>
          <w:rFonts w:ascii="Arial" w:hAnsi="Arial"/>
          <w:b/>
          <w:color w:val="1F2937"/>
          <w:sz w:val="26"/>
        </w:rPr>
        <w:t>Authorization model</w:t>
      </w:r>
    </w:p>
    <w:p>
      <w:pPr>
        <w:spacing w:after="40"/>
        <w:ind w:left="620" w:hanging="260"/>
      </w:pPr>
      <w:r>
        <w:rPr>
          <w:rFonts w:ascii="Arial" w:hAnsi="Arial"/>
          <w:sz w:val="22"/>
        </w:rPr>
        <w:t xml:space="preserve">•  </w:t>
      </w:r>
      <w:r>
        <w:rPr>
          <w:rFonts w:ascii="Arial" w:hAnsi="Arial"/>
          <w:sz w:val="22"/>
        </w:rPr>
        <w:t xml:space="preserve">Authentication: self-rolled ASP.NET Core Identity (built-in TOTP MFA), per </w:t>
      </w:r>
      <w:r>
        <w:rPr>
          <w:rFonts w:ascii="Consolas" w:hAnsi="Consolas"/>
          <w:rFonts w:ascii="Consolas" w:hAnsi="Consolas"/>
          <w:sz w:val="20"/>
        </w:rPr>
        <w:t>adr/0001-technology-stack.md</w:t>
      </w:r>
      <w:r>
        <w:rPr>
          <w:rFonts w:ascii="Arial" w:hAnsi="Arial"/>
          <w:sz w:val="22"/>
        </w:rPr>
        <w:t xml:space="preserve"> as amended by </w:t>
      </w:r>
      <w:r>
        <w:rPr>
          <w:rFonts w:ascii="Consolas" w:hAnsi="Consolas"/>
          <w:rFonts w:ascii="Consolas" w:hAnsi="Consolas"/>
          <w:sz w:val="20"/>
        </w:rPr>
        <w:t>adr/0005-hosting-pivot-self-hosted-vps-postgresql.md</w:t>
      </w:r>
      <w:r>
        <w:rPr>
          <w:rFonts w:ascii="Arial" w:hAnsi="Arial"/>
          <w:sz w:val="22"/>
        </w:rPr>
        <w:t xml:space="preserve"> (originally Microsoft Entra External ID/OIDC).</w:t>
      </w:r>
    </w:p>
    <w:p>
      <w:pPr>
        <w:spacing w:after="40"/>
        <w:ind w:left="620" w:hanging="260"/>
      </w:pPr>
      <w:r>
        <w:rPr>
          <w:rFonts w:ascii="Arial" w:hAnsi="Arial"/>
          <w:sz w:val="22"/>
        </w:rPr>
        <w:t xml:space="preserve">•  </w:t>
      </w:r>
      <w:r>
        <w:rPr>
          <w:rFonts w:ascii="Arial" w:hAnsi="Arial"/>
          <w:sz w:val="22"/>
        </w:rPr>
        <w:t>Authorization: role-based (</w:t>
      </w:r>
      <w:r>
        <w:rPr>
          <w:rFonts w:ascii="Consolas" w:hAnsi="Consolas"/>
          <w:rFonts w:ascii="Consolas" w:hAnsi="Consolas"/>
          <w:sz w:val="20"/>
        </w:rPr>
        <w:t>UserRole.Role</w:t>
      </w:r>
      <w:r>
        <w:rPr>
          <w:rFonts w:ascii="Arial" w:hAnsi="Arial"/>
          <w:sz w:val="22"/>
        </w:rPr>
        <w:t xml:space="preserve"> — Admin/Teacher/Approver/Parent/Student/SafeguardingOfficer) implemented as ASP.NET Core authorization policies, </w:t>
      </w:r>
      <w:r>
        <w:rPr>
          <w:rFonts w:ascii="Arial" w:hAnsi="Arial"/>
          <w:b/>
          <w:sz w:val="22"/>
        </w:rPr>
        <w:t>plus</w:t>
      </w:r>
      <w:r>
        <w:rPr>
          <w:rFonts w:ascii="Arial" w:hAnsi="Arial"/>
          <w:sz w:val="22"/>
        </w:rPr>
        <w:t xml:space="preserve"> resource-based checks where a flat role isn't enough:</w:t>
      </w:r>
    </w:p>
    <w:p>
      <w:pPr>
        <w:spacing w:after="40"/>
        <w:ind w:left="980" w:hanging="260"/>
      </w:pPr>
      <w:r>
        <w:rPr>
          <w:rFonts w:ascii="Arial" w:hAnsi="Arial"/>
          <w:sz w:val="22"/>
        </w:rPr>
        <w:t xml:space="preserve">–  </w:t>
      </w:r>
      <w:r>
        <w:rPr>
          <w:rFonts w:ascii="Arial" w:hAnsi="Arial"/>
          <w:sz w:val="22"/>
        </w:rPr>
        <w:t xml:space="preserve">A Parent may only view/act on </w:t>
      </w:r>
      <w:r>
        <w:rPr>
          <w:rFonts w:ascii="Consolas" w:hAnsi="Consolas"/>
          <w:rFonts w:ascii="Consolas" w:hAnsi="Consolas"/>
          <w:sz w:val="20"/>
        </w:rPr>
        <w:t>Student</w:t>
      </w:r>
      <w:r>
        <w:rPr>
          <w:rFonts w:ascii="Arial" w:hAnsi="Arial"/>
          <w:sz w:val="22"/>
        </w:rPr>
        <w:t xml:space="preserve"> records linked to them via </w:t>
      </w:r>
      <w:r>
        <w:rPr>
          <w:rFonts w:ascii="Consolas" w:hAnsi="Consolas"/>
          <w:rFonts w:ascii="Consolas" w:hAnsi="Consolas"/>
          <w:sz w:val="20"/>
        </w:rPr>
        <w:t>StudentGuardianLink</w:t>
      </w:r>
      <w:r>
        <w:rPr>
          <w:rFonts w:ascii="Arial" w:hAnsi="Arial"/>
          <w:sz w:val="22"/>
        </w:rPr>
        <w:t xml:space="preserve"> — and that link is only ever created by Admin/Teacher (see </w:t>
      </w:r>
      <w:r>
        <w:rPr>
          <w:rFonts w:ascii="Consolas" w:hAnsi="Consolas"/>
          <w:rFonts w:ascii="Consolas" w:hAnsi="Consolas"/>
          <w:sz w:val="20"/>
        </w:rPr>
        <w:t>data-design.md</w:t>
      </w:r>
      <w:r>
        <w:rPr>
          <w:rFonts w:ascii="Arial" w:hAnsi="Arial"/>
          <w:sz w:val="22"/>
        </w:rPr>
        <w:t xml:space="preserve"> — Guardian link verification), never claimed by the parent themselves.</w:t>
      </w:r>
    </w:p>
    <w:p>
      <w:pPr>
        <w:spacing w:after="40"/>
        <w:ind w:left="980" w:hanging="260"/>
      </w:pPr>
      <w:r>
        <w:rPr>
          <w:rFonts w:ascii="Arial" w:hAnsi="Arial"/>
          <w:sz w:val="22"/>
        </w:rPr>
        <w:t xml:space="preserve">–  </w:t>
      </w:r>
      <w:r>
        <w:rPr>
          <w:rFonts w:ascii="Arial" w:hAnsi="Arial"/>
          <w:sz w:val="22"/>
        </w:rPr>
        <w:t>A Student may only view their own record.</w:t>
      </w:r>
    </w:p>
    <w:p>
      <w:pPr>
        <w:spacing w:after="40"/>
        <w:ind w:left="980" w:hanging="260"/>
      </w:pPr>
      <w:r>
        <w:rPr>
          <w:rFonts w:ascii="Arial" w:hAnsi="Arial"/>
          <w:sz w:val="22"/>
        </w:rPr>
        <w:t xml:space="preserve">–  </w:t>
      </w:r>
      <w:r>
        <w:rPr>
          <w:rFonts w:ascii="Arial" w:hAnsi="Arial"/>
          <w:sz w:val="22"/>
        </w:rPr>
        <w:t xml:space="preserve">A Teacher sees </w:t>
      </w:r>
      <w:r>
        <w:rPr>
          <w:rFonts w:ascii="Arial" w:hAnsi="Arial"/>
          <w:b/>
          <w:sz w:val="22"/>
        </w:rPr>
        <w:t>all</w:t>
      </w:r>
      <w:r>
        <w:rPr>
          <w:rFonts w:ascii="Arial" w:hAnsi="Arial"/>
          <w:sz w:val="22"/>
        </w:rPr>
        <w:t xml:space="preserve"> students in the programme (confirmed) — not scoped to </w:t>
      </w:r>
      <w:r>
        <w:rPr>
          <w:rFonts w:ascii="Consolas" w:hAnsi="Consolas"/>
          <w:rFonts w:ascii="Consolas" w:hAnsi="Consolas"/>
          <w:sz w:val="20"/>
        </w:rPr>
        <w:t>Student.AssignedTeacherUserId</w:t>
      </w:r>
      <w:r>
        <w:rPr>
          <w:rFonts w:ascii="Arial" w:hAnsi="Arial"/>
          <w:sz w:val="22"/>
        </w:rPr>
        <w:t>, so teachers can cover for each other.</w:t>
      </w:r>
    </w:p>
    <w:p>
      <w:pPr>
        <w:spacing w:after="40"/>
        <w:ind w:left="620" w:hanging="260"/>
      </w:pPr>
      <w:r>
        <w:rPr>
          <w:rFonts w:ascii="Arial" w:hAnsi="Arial"/>
          <w:sz w:val="22"/>
        </w:rPr>
        <w:t xml:space="preserve">•  </w:t>
      </w:r>
      <w:r>
        <w:rPr>
          <w:rFonts w:ascii="Arial" w:hAnsi="Arial"/>
          <w:sz w:val="22"/>
        </w:rPr>
        <w:t>Whole-entity access restriction (</w:t>
      </w:r>
      <w:r>
        <w:rPr>
          <w:rFonts w:ascii="Consolas" w:hAnsi="Consolas"/>
          <w:rFonts w:ascii="Consolas" w:hAnsi="Consolas"/>
          <w:sz w:val="20"/>
        </w:rPr>
        <w:t>data-design.md</w:t>
      </w:r>
      <w:r>
        <w:rPr>
          <w:rFonts w:ascii="Arial" w:hAnsi="Arial"/>
          <w:sz w:val="22"/>
        </w:rPr>
        <w:t xml:space="preserve">): </w:t>
      </w:r>
      <w:r>
        <w:rPr>
          <w:rFonts w:ascii="Consolas" w:hAnsi="Consolas"/>
          <w:rFonts w:ascii="Consolas" w:hAnsi="Consolas"/>
          <w:sz w:val="20"/>
        </w:rPr>
        <w:t>DbsCheck</w:t>
      </w:r>
      <w:r>
        <w:rPr>
          <w:rFonts w:ascii="Arial" w:hAnsi="Arial"/>
          <w:sz w:val="22"/>
        </w:rPr>
        <w:t xml:space="preserve"> and </w:t>
      </w:r>
      <w:r>
        <w:rPr>
          <w:rFonts w:ascii="Consolas" w:hAnsi="Consolas"/>
          <w:rFonts w:ascii="Consolas" w:hAnsi="Consolas"/>
          <w:sz w:val="20"/>
        </w:rPr>
        <w:t>ConsentSensitiveDetails</w:t>
      </w:r>
      <w:r>
        <w:rPr>
          <w:rFonts w:ascii="Arial" w:hAnsi="Arial"/>
          <w:sz w:val="22"/>
        </w:rPr>
        <w:t xml:space="preserve"> (the medical/dietary-SEN/emergency-contact fields, split out from </w:t>
      </w:r>
      <w:r>
        <w:rPr>
          <w:rFonts w:ascii="Consolas" w:hAnsi="Consolas"/>
          <w:rFonts w:ascii="Consolas" w:hAnsi="Consolas"/>
          <w:sz w:val="20"/>
        </w:rPr>
        <w:t>ConsentRecord</w:t>
      </w:r>
      <w:r>
        <w:rPr>
          <w:rFonts w:ascii="Arial" w:hAnsi="Arial"/>
          <w:sz w:val="22"/>
        </w:rPr>
        <w:t xml:space="preserve"> — see </w:t>
      </w:r>
      <w:r>
        <w:rPr>
          <w:rFonts w:ascii="Consolas" w:hAnsi="Consolas"/>
          <w:rFonts w:ascii="Consolas" w:hAnsi="Consolas"/>
          <w:sz w:val="20"/>
        </w:rPr>
        <w:t>adr/0004-sensitive-data-access-control.md</w:t>
      </w:r>
      <w:r>
        <w:rPr>
          <w:rFonts w:ascii="Arial" w:hAnsi="Arial"/>
          <w:sz w:val="22"/>
        </w:rPr>
        <w:t xml:space="preserve"> for why a query filter cannot mask individual columns) are restricted structurally via </w:t>
      </w:r>
      <w:r>
        <w:rPr>
          <w:rFonts w:ascii="Arial" w:hAnsi="Arial"/>
          <w:b/>
          <w:sz w:val="22"/>
        </w:rPr>
        <w:t>EF Core global query filters</w:t>
      </w:r>
      <w:r>
        <w:rPr>
          <w:rFonts w:ascii="Arial" w:hAnsi="Arial"/>
          <w:sz w:val="22"/>
        </w:rPr>
        <w:t xml:space="preserve"> on the </w:t>
      </w:r>
      <w:r>
        <w:rPr>
          <w:rFonts w:ascii="Consolas" w:hAnsi="Consolas"/>
          <w:rFonts w:ascii="Consolas" w:hAnsi="Consolas"/>
          <w:sz w:val="20"/>
        </w:rPr>
        <w:t>DbContext</w:t>
      </w:r>
      <w:r>
        <w:rPr>
          <w:rFonts w:ascii="Arial" w:hAnsi="Arial"/>
          <w:sz w:val="22"/>
        </w:rPr>
        <w:t xml:space="preserve">, not an opt-in per-call convention. </w:t>
      </w:r>
      <w:r>
        <w:rPr>
          <w:rFonts w:ascii="Consolas" w:hAnsi="Consolas"/>
          <w:rFonts w:ascii="Consolas" w:hAnsi="Consolas"/>
          <w:sz w:val="20"/>
        </w:rPr>
        <w:t>ConsentRecord</w:t>
      </w:r>
      <w:r>
        <w:rPr>
          <w:rFonts w:ascii="Arial" w:hAnsi="Arial"/>
          <w:sz w:val="22"/>
        </w:rPr>
        <w:t xml:space="preserve"> itself (status, expiry, non-sensitive flags) remains readable by Teacher/Approver, since </w:t>
      </w:r>
      <w:r>
        <w:rPr>
          <w:rFonts w:ascii="Consolas" w:hAnsi="Consolas"/>
          <w:rFonts w:ascii="Consolas" w:hAnsi="Consolas"/>
          <w:sz w:val="20"/>
        </w:rPr>
        <w:t>CompletionService</w:t>
      </w:r>
      <w:r>
        <w:rPr>
          <w:rFonts w:ascii="Arial" w:hAnsi="Arial"/>
          <w:sz w:val="22"/>
        </w:rPr>
        <w:t xml:space="preserve"> needs it to enforce the consent-blocks-completion rule. Every read of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is additionally written to </w:t>
      </w:r>
      <w:r>
        <w:rPr>
          <w:rFonts w:ascii="Consolas" w:hAnsi="Consolas"/>
          <w:rFonts w:ascii="Consolas" w:hAnsi="Consolas"/>
          <w:sz w:val="20"/>
        </w:rPr>
        <w:t>SensitiveDataAccessLog</w:t>
      </w:r>
      <w:r>
        <w:rPr>
          <w:rFonts w:ascii="Arial" w:hAnsi="Arial"/>
          <w:sz w:val="22"/>
        </w:rPr>
        <w:t xml:space="preserve"> via an </w:t>
      </w:r>
      <w:r>
        <w:rPr>
          <w:rFonts w:ascii="Consolas" w:hAnsi="Consolas"/>
          <w:rFonts w:ascii="Consolas" w:hAnsi="Consolas"/>
          <w:sz w:val="20"/>
        </w:rPr>
        <w:t>IMaterializationInterceptor</w:t>
      </w:r>
      <w:r>
        <w:rPr>
          <w:rFonts w:ascii="Arial" w:hAnsi="Arial"/>
          <w:sz w:val="22"/>
        </w:rPr>
        <w:t xml:space="preserve"> (</w:t>
      </w:r>
      <w:r>
        <w:rPr>
          <w:rFonts w:ascii="Consolas" w:hAnsi="Consolas"/>
          <w:rFonts w:ascii="Consolas" w:hAnsi="Consolas"/>
          <w:sz w:val="20"/>
        </w:rPr>
        <w:t>adr/0004</w:t>
      </w:r>
      <w:r>
        <w:rPr>
          <w:rFonts w:ascii="Arial" w:hAnsi="Arial"/>
          <w:sz w:val="22"/>
        </w:rPr>
        <w:t xml:space="preserve">) — chosen over a raw-SQL </w:t>
      </w:r>
      <w:r>
        <w:rPr>
          <w:rFonts w:ascii="Consolas" w:hAnsi="Consolas"/>
          <w:rFonts w:ascii="Consolas" w:hAnsi="Consolas"/>
          <w:sz w:val="20"/>
        </w:rPr>
        <w:t>DbCommandInterceptor</w:t>
      </w:r>
      <w:r>
        <w:rPr>
          <w:rFonts w:ascii="Arial" w:hAnsi="Arial"/>
          <w:sz w:val="22"/>
        </w:rPr>
        <w:t xml:space="preserve"> because it gives direct typed access to the materialized entity's ID, correctly once per row.</w:t>
      </w:r>
    </w:p>
    <w:p>
      <w:pPr>
        <w:spacing w:after="40"/>
        <w:ind w:left="620" w:hanging="260"/>
      </w:pPr>
      <w:r>
        <w:rPr>
          <w:rFonts w:ascii="Arial" w:hAnsi="Arial"/>
          <w:sz w:val="22"/>
        </w:rPr>
        <w:t xml:space="preserve">•  </w:t>
      </w:r>
      <w:r>
        <w:rPr>
          <w:rFonts w:ascii="Arial" w:hAnsi="Arial"/>
          <w:sz w:val="22"/>
        </w:rPr>
        <w:t xml:space="preserve">Test coverage for this model (whole-entity restriction, audit logging, guardian-link scoping) is the priority of the access-control test suite — see </w:t>
      </w:r>
      <w:r>
        <w:rPr>
          <w:rFonts w:ascii="Consolas" w:hAnsi="Consolas"/>
          <w:rFonts w:ascii="Consolas" w:hAnsi="Consolas"/>
          <w:sz w:val="20"/>
        </w:rPr>
        <w:t>quality/test-plan.md</w:t>
      </w:r>
      <w:r>
        <w:rPr>
          <w:rFonts w:ascii="Arial" w:hAnsi="Arial"/>
          <w:sz w:val="22"/>
        </w:rPr>
        <w:t xml:space="preserve"> TC-006/007/008 and TC-011/012.</w:t>
      </w:r>
    </w:p>
    <w:p>
      <w:pPr>
        <w:keepNext/>
        <w:spacing w:before="200" w:after="80"/>
        <w:outlineLvl w:val="1"/>
      </w:pPr>
      <w:r>
        <w:rPr>
          <w:rFonts w:ascii="Arial" w:hAnsi="Arial"/>
          <w:b/>
          <w:color w:val="1F2937"/>
          <w:sz w:val="26"/>
        </w:rPr>
        <w:t>Key domain services (Vlms.Domain)</w:t>
      </w:r>
    </w:p>
    <w:p>
      <w:pPr>
        <w:spacing w:after="40"/>
        <w:ind w:left="620" w:hanging="260"/>
      </w:pPr>
      <w:r>
        <w:rPr>
          <w:rFonts w:ascii="Arial" w:hAnsi="Arial"/>
          <w:sz w:val="22"/>
        </w:rPr>
        <w:t xml:space="preserve">•  </w:t>
      </w:r>
      <w:r>
        <w:rPr>
          <w:rFonts w:ascii="Arial" w:hAnsi="Arial"/>
          <w:b/>
          <w:sz w:val="22"/>
        </w:rPr>
        <w:t>`LessonProposalService`</w:t>
      </w:r>
      <w:r>
        <w:rPr>
          <w:rFonts w:ascii="Arial" w:hAnsi="Arial"/>
          <w:sz w:val="22"/>
        </w:rPr>
        <w:t xml:space="preserve"> — create/submit a proposal; </w:t>
      </w:r>
      <w:r>
        <w:rPr>
          <w:rFonts w:ascii="Consolas" w:hAnsi="Consolas"/>
          <w:rFonts w:ascii="Consolas" w:hAnsi="Consolas"/>
          <w:sz w:val="20"/>
        </w:rPr>
        <w:t>Approve(proposalId, approverUserId)</w:t>
      </w:r>
      <w:r>
        <w:rPr>
          <w:rFonts w:ascii="Arial" w:hAnsi="Arial"/>
          <w:sz w:val="22"/>
        </w:rPr>
        <w:t xml:space="preserve"> applies </w:t>
      </w:r>
      <w:r>
        <w:rPr>
          <w:rFonts w:ascii="Consolas" w:hAnsi="Consolas"/>
          <w:rFonts w:ascii="Consolas" w:hAnsi="Consolas"/>
          <w:sz w:val="20"/>
        </w:rPr>
        <w:t>ProposedContent</w:t>
      </w:r>
      <w:r>
        <w:rPr>
          <w:rFonts w:ascii="Arial" w:hAnsi="Arial"/>
          <w:sz w:val="22"/>
        </w:rPr>
        <w:t xml:space="preserve"> to </w:t>
      </w:r>
      <w:r>
        <w:rPr>
          <w:rFonts w:ascii="Consolas" w:hAnsi="Consolas"/>
          <w:rFonts w:ascii="Consolas" w:hAnsi="Consolas"/>
          <w:sz w:val="20"/>
        </w:rPr>
        <w:t>Lesson</w:t>
      </w:r>
      <w:r>
        <w:rPr>
          <w:rFonts w:ascii="Arial" w:hAnsi="Arial"/>
          <w:sz w:val="22"/>
        </w:rPr>
        <w:t xml:space="preserve">; </w:t>
      </w:r>
      <w:r>
        <w:rPr>
          <w:rFonts w:ascii="Consolas" w:hAnsi="Consolas"/>
          <w:rFonts w:ascii="Consolas" w:hAnsi="Consolas"/>
          <w:sz w:val="20"/>
        </w:rPr>
        <w:t>Reject(proposalId, approverUserId, comments)</w:t>
      </w:r>
      <w:r>
        <w:rPr>
          <w:rFonts w:ascii="Arial" w:hAnsi="Arial"/>
          <w:sz w:val="22"/>
        </w:rPr>
        <w:t xml:space="preserve"> sets Status and enables resubmission via </w:t>
      </w:r>
      <w:r>
        <w:rPr>
          <w:rFonts w:ascii="Consolas" w:hAnsi="Consolas"/>
          <w:rFonts w:ascii="Consolas" w:hAnsi="Consolas"/>
          <w:sz w:val="20"/>
        </w:rPr>
        <w:t>ResubmissionOfProposalId</w:t>
      </w:r>
      <w:r>
        <w:rPr>
          <w:rFonts w:ascii="Arial" w:hAnsi="Arial"/>
          <w:sz w:val="22"/>
        </w:rPr>
        <w:t>.</w:t>
      </w:r>
    </w:p>
    <w:p>
      <w:pPr>
        <w:spacing w:after="40"/>
        <w:ind w:left="620" w:hanging="260"/>
      </w:pPr>
      <w:r>
        <w:rPr>
          <w:rFonts w:ascii="Arial" w:hAnsi="Arial"/>
          <w:sz w:val="22"/>
        </w:rPr>
        <w:t xml:space="preserve">•  </w:t>
      </w:r>
      <w:r>
        <w:rPr>
          <w:rFonts w:ascii="Arial" w:hAnsi="Arial"/>
          <w:b/>
          <w:sz w:val="22"/>
        </w:rPr>
        <w:t>`CompletionService`</w:t>
      </w:r>
      <w:r>
        <w:rPr>
          <w:rFonts w:ascii="Arial" w:hAnsi="Arial"/>
          <w:sz w:val="22"/>
        </w:rPr>
        <w:t xml:space="preserve"> — </w:t>
      </w:r>
      <w:r>
        <w:rPr>
          <w:rFonts w:ascii="Consolas" w:hAnsi="Consolas"/>
          <w:rFonts w:ascii="Consolas" w:hAnsi="Consolas"/>
          <w:sz w:val="20"/>
        </w:rPr>
        <w:t>MarkComplete(studentId, lessonId, teacherUserId, note?)</w:t>
      </w:r>
      <w:r>
        <w:rPr>
          <w:rFonts w:ascii="Arial" w:hAnsi="Arial"/>
          <w:sz w:val="22"/>
        </w:rPr>
        <w:t xml:space="preserve">: blocked if the student's active </w:t>
      </w:r>
      <w:r>
        <w:rPr>
          <w:rFonts w:ascii="Consolas" w:hAnsi="Consolas"/>
          <w:rFonts w:ascii="Consolas" w:hAnsi="Consolas"/>
          <w:sz w:val="20"/>
        </w:rPr>
        <w:t>ConsentRecord.Status</w:t>
      </w:r>
      <w:r>
        <w:rPr>
          <w:rFonts w:ascii="Arial" w:hAnsi="Arial"/>
          <w:sz w:val="22"/>
        </w:rPr>
        <w:t>/</w:t>
      </w:r>
      <w:r>
        <w:rPr>
          <w:rFonts w:ascii="Consolas" w:hAnsi="Consolas"/>
          <w:rFonts w:ascii="Consolas" w:hAnsi="Consolas"/>
          <w:sz w:val="20"/>
        </w:rPr>
        <w:t>ExpiryDate</w:t>
      </w:r>
      <w:r>
        <w:rPr>
          <w:rFonts w:ascii="Arial" w:hAnsi="Arial"/>
          <w:sz w:val="22"/>
        </w:rPr>
        <w:t xml:space="preserve"> shows expired/missing consent (hard business rule, </w:t>
      </w:r>
      <w:r>
        <w:rPr>
          <w:rFonts w:ascii="Consolas" w:hAnsi="Consolas"/>
          <w:rFonts w:ascii="Consolas" w:hAnsi="Consolas"/>
          <w:sz w:val="20"/>
        </w:rPr>
        <w:t>functional.md</w:t>
      </w:r>
      <w:r>
        <w:rPr>
          <w:rFonts w:ascii="Arial" w:hAnsi="Arial"/>
          <w:sz w:val="22"/>
        </w:rPr>
        <w:t xml:space="preserve">) — reads only the non-sensitive </w:t>
      </w:r>
      <w:r>
        <w:rPr>
          <w:rFonts w:ascii="Consolas" w:hAnsi="Consolas"/>
          <w:rFonts w:ascii="Consolas" w:hAnsi="Consolas"/>
          <w:sz w:val="20"/>
        </w:rPr>
        <w:t>ConsentRecord</w:t>
      </w:r>
      <w:r>
        <w:rPr>
          <w:rFonts w:ascii="Arial" w:hAnsi="Arial"/>
          <w:sz w:val="22"/>
        </w:rPr>
        <w:t xml:space="preserve">, never </w:t>
      </w:r>
      <w:r>
        <w:rPr>
          <w:rFonts w:ascii="Consolas" w:hAnsi="Consolas"/>
          <w:rFonts w:ascii="Consolas" w:hAnsi="Consolas"/>
          <w:sz w:val="20"/>
        </w:rPr>
        <w:t>ConsentSensitiveDetails</w:t>
      </w:r>
      <w:r>
        <w:rPr>
          <w:rFonts w:ascii="Arial" w:hAnsi="Arial"/>
          <w:sz w:val="22"/>
        </w:rPr>
        <w:t xml:space="preserve">; on success, triggers </w:t>
      </w:r>
      <w:r>
        <w:rPr>
          <w:rFonts w:ascii="Consolas" w:hAnsi="Consolas"/>
          <w:rFonts w:ascii="Consolas" w:hAnsi="Consolas"/>
          <w:sz w:val="20"/>
        </w:rPr>
        <w:t>PromotionService</w:t>
      </w:r>
      <w:r>
        <w:rPr>
          <w:rFonts w:ascii="Arial" w:hAnsi="Arial"/>
          <w:sz w:val="22"/>
        </w:rPr>
        <w:t xml:space="preserve"> check and </w:t>
      </w:r>
      <w:r>
        <w:rPr>
          <w:rFonts w:ascii="Consolas" w:hAnsi="Consolas"/>
          <w:rFonts w:ascii="Consolas" w:hAnsi="Consolas"/>
          <w:sz w:val="20"/>
        </w:rPr>
        <w:t>CertificateService.Generate(...)</w:t>
      </w:r>
      <w:r>
        <w:rPr>
          <w:rFonts w:ascii="Arial" w:hAnsi="Arial"/>
          <w:sz w:val="22"/>
        </w:rPr>
        <w:t>.</w:t>
      </w:r>
    </w:p>
    <w:p>
      <w:pPr>
        <w:spacing w:after="40"/>
        <w:ind w:left="620" w:hanging="260"/>
      </w:pPr>
      <w:r>
        <w:rPr>
          <w:rFonts w:ascii="Arial" w:hAnsi="Arial"/>
          <w:sz w:val="22"/>
        </w:rPr>
        <w:t xml:space="preserve">•  </w:t>
      </w:r>
      <w:r>
        <w:rPr>
          <w:rFonts w:ascii="Arial" w:hAnsi="Arial"/>
          <w:b/>
          <w:sz w:val="22"/>
        </w:rPr>
        <w:t>`PromotionService`</w:t>
      </w:r>
      <w:r>
        <w:rPr>
          <w:rFonts w:ascii="Arial" w:hAnsi="Arial"/>
          <w:sz w:val="22"/>
        </w:rPr>
        <w:t xml:space="preserve"> — after a completion, checks whether all active </w:t>
      </w:r>
      <w:r>
        <w:rPr>
          <w:rFonts w:ascii="Consolas" w:hAnsi="Consolas"/>
          <w:rFonts w:ascii="Consolas" w:hAnsi="Consolas"/>
          <w:sz w:val="20"/>
        </w:rPr>
        <w:t>Lesson</w:t>
      </w:r>
      <w:r>
        <w:rPr>
          <w:rFonts w:ascii="Arial" w:hAnsi="Arial"/>
          <w:sz w:val="22"/>
        </w:rPr>
        <w:t xml:space="preserve">s in the student's </w:t>
      </w:r>
      <w:r>
        <w:rPr>
          <w:rFonts w:ascii="Consolas" w:hAnsi="Consolas"/>
          <w:rFonts w:ascii="Consolas" w:hAnsi="Consolas"/>
          <w:sz w:val="20"/>
        </w:rPr>
        <w:t>CurrentRankId</w:t>
      </w:r>
      <w:r>
        <w:rPr>
          <w:rFonts w:ascii="Arial" w:hAnsi="Arial"/>
          <w:sz w:val="22"/>
        </w:rPr>
        <w:t xml:space="preserve"> are complete; if so, closes the current </w:t>
      </w:r>
      <w:r>
        <w:rPr>
          <w:rFonts w:ascii="Consolas" w:hAnsi="Consolas"/>
          <w:rFonts w:ascii="Consolas" w:hAnsi="Consolas"/>
          <w:sz w:val="20"/>
        </w:rPr>
        <w:t>StudentRankProgress</w:t>
      </w:r>
      <w:r>
        <w:rPr>
          <w:rFonts w:ascii="Arial" w:hAnsi="Arial"/>
          <w:sz w:val="22"/>
        </w:rPr>
        <w:t xml:space="preserve"> row, opens the next, advances </w:t>
      </w:r>
      <w:r>
        <w:rPr>
          <w:rFonts w:ascii="Consolas" w:hAnsi="Consolas"/>
          <w:rFonts w:ascii="Consolas" w:hAnsi="Consolas"/>
          <w:sz w:val="20"/>
        </w:rPr>
        <w:t>Student.CurrentRankId</w:t>
      </w:r>
      <w:r>
        <w:rPr>
          <w:rFonts w:ascii="Arial" w:hAnsi="Arial"/>
          <w:sz w:val="22"/>
        </w:rPr>
        <w:t xml:space="preserve">, and awards the </w:t>
      </w:r>
      <w:r>
        <w:rPr>
          <w:rFonts w:ascii="Consolas" w:hAnsi="Consolas"/>
          <w:rFonts w:ascii="Consolas" w:hAnsi="Consolas"/>
          <w:sz w:val="20"/>
        </w:rPr>
        <w:t>RankBadge</w:t>
      </w:r>
      <w:r>
        <w:rPr>
          <w:rFonts w:ascii="Arial" w:hAnsi="Arial"/>
          <w:sz w:val="22"/>
        </w:rPr>
        <w:t xml:space="preserve"> via a new </w:t>
      </w:r>
      <w:r>
        <w:rPr>
          <w:rFonts w:ascii="Consolas" w:hAnsi="Consolas"/>
          <w:rFonts w:ascii="Consolas" w:hAnsi="Consolas"/>
          <w:sz w:val="20"/>
        </w:rPr>
        <w:t>StudentBadge</w:t>
      </w:r>
      <w:r>
        <w:rPr>
          <w:rFonts w:ascii="Arial" w:hAnsi="Arial"/>
          <w:sz w:val="22"/>
        </w:rPr>
        <w:t xml:space="preserve">. At the final rank, sets </w:t>
      </w:r>
      <w:r>
        <w:rPr>
          <w:rFonts w:ascii="Consolas" w:hAnsi="Consolas"/>
          <w:rFonts w:ascii="Consolas" w:hAnsi="Consolas"/>
          <w:sz w:val="20"/>
        </w:rPr>
        <w:t>Student.Status = Graduated</w:t>
      </w:r>
      <w:r>
        <w:rPr>
          <w:rFonts w:ascii="Arial" w:hAnsi="Arial"/>
          <w:sz w:val="22"/>
        </w:rPr>
        <w:t xml:space="preserve"> instead of advancing further.</w:t>
      </w:r>
    </w:p>
    <w:p>
      <w:pPr>
        <w:spacing w:after="40"/>
        <w:ind w:left="620" w:hanging="260"/>
      </w:pPr>
      <w:r>
        <w:rPr>
          <w:rFonts w:ascii="Arial" w:hAnsi="Arial"/>
          <w:sz w:val="22"/>
        </w:rPr>
        <w:t xml:space="preserve">•  </w:t>
      </w:r>
      <w:r>
        <w:rPr>
          <w:rFonts w:ascii="Arial" w:hAnsi="Arial"/>
          <w:b/>
          <w:sz w:val="22"/>
        </w:rPr>
        <w:t>`CertificateService`</w:t>
      </w:r>
      <w:r>
        <w:rPr>
          <w:rFonts w:ascii="Arial" w:hAnsi="Arial"/>
          <w:sz w:val="22"/>
        </w:rPr>
        <w:t xml:space="preserve"> — generates a PDF via QuestPDF from a template, uploads it via </w:t>
      </w:r>
      <w:r>
        <w:rPr>
          <w:rFonts w:ascii="Consolas" w:hAnsi="Consolas"/>
          <w:rFonts w:ascii="Consolas" w:hAnsi="Consolas"/>
          <w:sz w:val="20"/>
        </w:rPr>
        <w:t>IBlobStorage</w:t>
      </w:r>
      <w:r>
        <w:rPr>
          <w:rFonts w:ascii="Arial" w:hAnsi="Arial"/>
          <w:sz w:val="22"/>
        </w:rPr>
        <w:t xml:space="preserve"> (local disk on the VPS — </w:t>
      </w:r>
      <w:r>
        <w:rPr>
          <w:rFonts w:ascii="Consolas" w:hAnsi="Consolas"/>
          <w:rFonts w:ascii="Consolas" w:hAnsi="Consolas"/>
          <w:sz w:val="20"/>
        </w:rPr>
        <w:t>LocalDiskBlobStorage</w:t>
      </w:r>
      <w:r>
        <w:rPr>
          <w:rFonts w:ascii="Arial" w:hAnsi="Arial"/>
          <w:sz w:val="22"/>
        </w:rPr>
        <w:t xml:space="preserve">), writes a </w:t>
      </w:r>
      <w:r>
        <w:rPr>
          <w:rFonts w:ascii="Consolas" w:hAnsi="Consolas"/>
          <w:rFonts w:ascii="Consolas" w:hAnsi="Consolas"/>
          <w:sz w:val="20"/>
        </w:rPr>
        <w:t>Certificate</w:t>
      </w:r>
      <w:r>
        <w:rPr>
          <w:rFonts w:ascii="Arial" w:hAnsi="Arial"/>
          <w:sz w:val="22"/>
        </w:rPr>
        <w:t xml:space="preserve"> row.</w:t>
      </w:r>
    </w:p>
    <w:p>
      <w:pPr>
        <w:spacing w:after="40"/>
        <w:ind w:left="620" w:hanging="260"/>
      </w:pPr>
      <w:r>
        <w:rPr>
          <w:rFonts w:ascii="Arial" w:hAnsi="Arial"/>
          <w:sz w:val="22"/>
        </w:rPr>
        <w:t xml:space="preserve">•  </w:t>
      </w:r>
      <w:r>
        <w:rPr>
          <w:rFonts w:ascii="Arial" w:hAnsi="Arial"/>
          <w:b/>
          <w:sz w:val="22"/>
        </w:rPr>
        <w:t>`ConsentExpiryJob`</w:t>
      </w:r>
      <w:r>
        <w:rPr>
          <w:rFonts w:ascii="Arial" w:hAnsi="Arial"/>
          <w:sz w:val="22"/>
        </w:rPr>
        <w:t xml:space="preserve"> (</w:t>
      </w:r>
      <w:r>
        <w:rPr>
          <w:rFonts w:ascii="Consolas" w:hAnsi="Consolas"/>
          <w:rFonts w:ascii="Consolas" w:hAnsi="Consolas"/>
          <w:sz w:val="20"/>
        </w:rPr>
        <w:t>Vlms.Jobs</w:t>
      </w:r>
      <w:r>
        <w:rPr>
          <w:rFonts w:ascii="Arial" w:hAnsi="Arial"/>
          <w:sz w:val="22"/>
        </w:rPr>
        <w:t xml:space="preserve">, invoked daily by a systemd timer on the self-hosted VPS — </w:t>
      </w:r>
      <w:r>
        <w:rPr>
          <w:rFonts w:ascii="Consolas" w:hAnsi="Consolas"/>
          <w:rFonts w:ascii="Consolas" w:hAnsi="Consolas"/>
          <w:sz w:val="20"/>
        </w:rPr>
        <w:t>adr/0003-scheduled-jobs-webjobs.md</w:t>
      </w:r>
      <w:r>
        <w:rPr>
          <w:rFonts w:ascii="Arial" w:hAnsi="Arial"/>
          <w:sz w:val="22"/>
        </w:rPr>
        <w:t xml:space="preserve"> as amended by </w:t>
      </w:r>
      <w:r>
        <w:rPr>
          <w:rFonts w:ascii="Consolas" w:hAnsi="Consolas"/>
          <w:rFonts w:ascii="Consolas" w:hAnsi="Consolas"/>
          <w:sz w:val="20"/>
        </w:rPr>
        <w:t>adr/0005-hosting-pivot-self-hosted-vps-postgresql.md</w:t>
      </w:r>
      <w:r>
        <w:rPr>
          <w:rFonts w:ascii="Arial" w:hAnsi="Arial"/>
          <w:sz w:val="22"/>
        </w:rPr>
        <w:t xml:space="preserve">) — daily sweep: flags consents/DBS checks expiring within a configurable window and expired ones, triggers </w:t>
      </w:r>
      <w:r>
        <w:rPr>
          <w:rFonts w:ascii="Consolas" w:hAnsi="Consolas"/>
          <w:rFonts w:ascii="Consolas" w:hAnsi="Consolas"/>
          <w:sz w:val="20"/>
        </w:rPr>
        <w:t>NotificationService</w:t>
      </w:r>
      <w:r>
        <w:rPr>
          <w:rFonts w:ascii="Arial" w:hAnsi="Arial"/>
          <w:sz w:val="22"/>
        </w:rPr>
        <w:t xml:space="preserve"> emails, escalates to Admin/Safeguarding Officer. Also runs the at-risk/disengaged student flagging: no lesson completion within 8 weeks (</w:t>
      </w:r>
      <w:r>
        <w:rPr>
          <w:rFonts w:ascii="Consolas" w:hAnsi="Consolas"/>
          <w:rFonts w:ascii="Consolas" w:hAnsi="Consolas"/>
          <w:sz w:val="20"/>
        </w:rPr>
        <w:t>functional.md</w:t>
      </w:r>
      <w:r>
        <w:rPr>
          <w:rFonts w:ascii="Arial" w:hAnsi="Arial"/>
          <w:sz w:val="22"/>
        </w:rPr>
        <w:t>), and surfaces the "records due for deletion" report (</w:t>
      </w:r>
      <w:r>
        <w:rPr>
          <w:rFonts w:ascii="Consolas" w:hAnsi="Consolas"/>
          <w:rFonts w:ascii="Consolas" w:hAnsi="Consolas"/>
          <w:sz w:val="20"/>
        </w:rPr>
        <w:t>data-design.md</w:t>
      </w:r>
      <w:r>
        <w:rPr>
          <w:rFonts w:ascii="Arial" w:hAnsi="Arial"/>
          <w:sz w:val="22"/>
        </w:rPr>
        <w:t xml:space="preserve"> — deletion enforcement).</w:t>
      </w:r>
    </w:p>
    <w:p>
      <w:pPr>
        <w:spacing w:after="40"/>
        <w:ind w:left="620" w:hanging="260"/>
      </w:pPr>
      <w:r>
        <w:rPr>
          <w:rFonts w:ascii="Arial" w:hAnsi="Arial"/>
          <w:sz w:val="22"/>
        </w:rPr>
        <w:t xml:space="preserve">•  </w:t>
      </w:r>
      <w:r>
        <w:rPr>
          <w:rFonts w:ascii="Arial" w:hAnsi="Arial"/>
          <w:b/>
          <w:sz w:val="22"/>
        </w:rPr>
        <w:t>`NotificationService`</w:t>
      </w:r>
      <w:r>
        <w:rPr>
          <w:rFonts w:ascii="Arial" w:hAnsi="Arial"/>
          <w:sz w:val="22"/>
        </w:rPr>
        <w:t xml:space="preserve"> — wraps Microsoft Graph </w:t>
      </w:r>
      <w:r>
        <w:rPr>
          <w:rFonts w:ascii="Consolas" w:hAnsi="Consolas"/>
          <w:rFonts w:ascii="Consolas" w:hAnsi="Consolas"/>
          <w:sz w:val="20"/>
        </w:rPr>
        <w:t>sendMail</w:t>
      </w:r>
      <w:r>
        <w:rPr>
          <w:rFonts w:ascii="Arial" w:hAnsi="Arial"/>
          <w:sz w:val="22"/>
        </w:rPr>
        <w:t xml:space="preserve"> (</w:t>
      </w:r>
      <w:r>
        <w:rPr>
          <w:rFonts w:ascii="Consolas" w:hAnsi="Consolas"/>
          <w:rFonts w:ascii="Consolas" w:hAnsi="Consolas"/>
          <w:sz w:val="20"/>
        </w:rPr>
        <w:t>GraphEmailSender</w:t>
      </w:r>
      <w:r>
        <w:rPr>
          <w:rFonts w:ascii="Arial" w:hAnsi="Arial"/>
          <w:sz w:val="22"/>
        </w:rPr>
        <w:t xml:space="preserve">, app-only, scoped to the </w:t>
      </w:r>
      <w:r>
        <w:rPr>
          <w:rFonts w:ascii="Consolas" w:hAnsi="Consolas"/>
          <w:rFonts w:ascii="Consolas" w:hAnsi="Consolas"/>
          <w:sz w:val="20"/>
        </w:rPr>
        <w:t>noreply@varangians.co.uk</w:t>
      </w:r>
      <w:r>
        <w:rPr>
          <w:rFonts w:ascii="Arial" w:hAnsi="Arial"/>
          <w:sz w:val="22"/>
        </w:rPr>
        <w:t xml:space="preserve"> mailbox — </w:t>
      </w:r>
      <w:r>
        <w:rPr>
          <w:rFonts w:ascii="Consolas" w:hAnsi="Consolas"/>
          <w:rFonts w:ascii="Consolas" w:hAnsi="Consolas"/>
          <w:sz w:val="20"/>
        </w:rPr>
        <w:t>adr/0005</w:t>
      </w:r>
      <w:r>
        <w:rPr>
          <w:rFonts w:ascii="Arial" w:hAnsi="Arial"/>
          <w:sz w:val="22"/>
        </w:rPr>
        <w:t xml:space="preserve"> amendment; originally Azure Communication Services Email, then SMTP/MailKit) for: lesson completion/promotion confirmations to parents, consent-expiry reminders, at-risk flags to Admin. </w:t>
      </w:r>
      <w:r>
        <w:rPr>
          <w:rFonts w:ascii="Arial" w:hAnsi="Arial"/>
          <w:b/>
          <w:sz w:val="22"/>
        </w:rPr>
        <w:t>Failure handling (design-review addition):</w:t>
      </w:r>
      <w:r>
        <w:rPr>
          <w:rFonts w:ascii="Arial" w:hAnsi="Arial"/>
          <w:sz w:val="22"/>
        </w:rPr>
        <w:t xml:space="preserve"> a failed send for a safeguarding-critical notification (expired consent, expired DBS) is retried with backoff and, if still failing, logged as an escalation-visible failure to Admin — a silent failure here must not be possible, since it's the mechanism that surfaces a safeguarding lapse. Non-critical notifications (e.g. routine completion confirmations) log failure without escalation.</w:t>
      </w:r>
    </w:p>
    <w:p>
      <w:pPr>
        <w:keepNext/>
        <w:spacing w:before="200" w:after="80"/>
        <w:outlineLvl w:val="1"/>
      </w:pPr>
      <w:r>
        <w:rPr>
          <w:rFonts w:ascii="Arial" w:hAnsi="Arial"/>
          <w:b/>
          <w:color w:val="1F2937"/>
          <w:sz w:val="26"/>
        </w:rPr>
        <w:t>Open items to resolve before build</w:t>
      </w:r>
    </w:p>
    <w:p>
      <w:pPr>
        <w:spacing w:after="40"/>
        <w:ind w:left="620" w:hanging="260"/>
      </w:pPr>
      <w:r>
        <w:rPr>
          <w:rFonts w:ascii="Arial" w:hAnsi="Arial"/>
          <w:sz w:val="22"/>
        </w:rPr>
        <w:t xml:space="preserve">•  </w:t>
      </w:r>
      <w:r>
        <w:rPr>
          <w:rFonts w:ascii="Arial" w:hAnsi="Arial"/>
          <w:sz w:val="22"/>
        </w:rPr>
        <w:t>Certificate delivery mechanism (download from dashboard vs emailed automatically) — not yet decided (</w:t>
      </w:r>
      <w:r>
        <w:rPr>
          <w:rFonts w:ascii="Consolas" w:hAnsi="Consolas"/>
          <w:rFonts w:ascii="Consolas" w:hAnsi="Consolas"/>
          <w:sz w:val="20"/>
        </w:rPr>
        <w:t>requirements/functional.md</w:t>
      </w:r>
      <w:r>
        <w:rPr>
          <w:rFonts w:ascii="Arial" w:hAnsi="Arial"/>
          <w:sz w:val="22"/>
        </w:rPr>
        <w:t>).</w:t>
      </w:r>
    </w:p>
    <w:p>
      <w:pPr>
        <w:spacing w:after="40"/>
        <w:ind w:left="620" w:hanging="260"/>
      </w:pPr>
      <w:r>
        <w:rPr>
          <w:rFonts w:ascii="Arial" w:hAnsi="Arial"/>
          <w:sz w:val="22"/>
        </w:rPr>
        <w:t xml:space="preserve">•  </w:t>
      </w:r>
      <w:r>
        <w:rPr>
          <w:rFonts w:ascii="Arial" w:hAnsi="Arial"/>
          <w:sz w:val="22"/>
        </w:rPr>
        <w:t>Confirm the entity-split + EF Core query filter + audit-interceptor design (</w:t>
      </w:r>
      <w:r>
        <w:rPr>
          <w:rFonts w:ascii="Consolas" w:hAnsi="Consolas"/>
          <w:rFonts w:ascii="Consolas" w:hAnsi="Consolas"/>
          <w:sz w:val="20"/>
        </w:rPr>
        <w:t>adr/0004-sensitive-data-access-control.md</w:t>
      </w:r>
      <w:r>
        <w:rPr>
          <w:rFonts w:ascii="Arial" w:hAnsi="Arial"/>
          <w:sz w:val="22"/>
        </w:rPr>
        <w:t xml:space="preserve">) against the OWASP ASVS 5.0 access-control and logging chapters during implementation, via </w:t>
      </w:r>
      <w:r>
        <w:rPr>
          <w:rFonts w:ascii="Consolas" w:hAnsi="Consolas"/>
          <w:rFonts w:ascii="Consolas" w:hAnsi="Consolas"/>
          <w:sz w:val="20"/>
        </w:rPr>
        <w:t>quality/test-plan.md</w:t>
      </w:r>
      <w:r>
        <w:rPr>
          <w:rFonts w:ascii="Arial" w:hAnsi="Arial"/>
          <w:sz w:val="22"/>
        </w:rPr>
        <w:t xml:space="preserve"> TC-007/008/011.</w:t>
      </w:r>
    </w:p>
    <w:p>
      <w:pPr>
        <w:spacing w:after="80"/>
      </w:pPr>
      <w:r>
        <w:rPr>
          <w:rFonts w:ascii="Arial" w:hAnsi="Arial"/>
          <w:sz w:val="22"/>
        </w:rPr>
        <w:t xml:space="preserve">Resolved at design review (two passes — the first pass's masking mechanism was itself corrected at the second pass, see </w:t>
      </w:r>
      <w:r>
        <w:rPr>
          <w:rFonts w:ascii="Consolas" w:hAnsi="Consolas"/>
          <w:rFonts w:ascii="Consolas" w:hAnsi="Consolas"/>
          <w:sz w:val="20"/>
        </w:rPr>
        <w:t>adr/0004</w:t>
      </w:r>
      <w:r>
        <w:rPr>
          <w:rFonts w:ascii="Arial" w:hAnsi="Arial"/>
          <w:sz w:val="22"/>
        </w:rPr>
        <w:t xml:space="preserve">): retention periods (3 years student, 6 years DBS, 6 years audit log), role/PII visibility boundaries, guardian-link verification + evidentiary basis, read-audit logging with a named write mechanism and tamper protection, whole-entity restriction via the </w:t>
      </w:r>
      <w:r>
        <w:rPr>
          <w:rFonts w:ascii="Consolas" w:hAnsi="Consolas"/>
          <w:rFonts w:ascii="Consolas" w:hAnsi="Consolas"/>
          <w:sz w:val="20"/>
        </w:rPr>
        <w:t>ConsentRecord</w:t>
      </w:r>
      <w:r>
        <w:rPr>
          <w:rFonts w:ascii="Arial" w:hAnsi="Arial"/>
          <w:sz w:val="22"/>
        </w:rPr>
        <w:t>/</w:t>
      </w:r>
      <w:r>
        <w:rPr>
          <w:rFonts w:ascii="Consolas" w:hAnsi="Consolas"/>
          <w:rFonts w:ascii="Consolas" w:hAnsi="Consolas"/>
          <w:sz w:val="20"/>
        </w:rPr>
        <w:t>ConsentSensitiveDetails</w:t>
      </w:r>
      <w:r>
        <w:rPr>
          <w:rFonts w:ascii="Arial" w:hAnsi="Arial"/>
          <w:sz w:val="22"/>
        </w:rPr>
        <w:t xml:space="preserve"> split, and hard-delete-vs-anonymisation — all confirmed above and in </w:t>
      </w:r>
      <w:r>
        <w:rPr>
          <w:rFonts w:ascii="Consolas" w:hAnsi="Consolas"/>
          <w:rFonts w:ascii="Consolas" w:hAnsi="Consolas"/>
          <w:sz w:val="20"/>
        </w:rPr>
        <w:t>data-design.md</w:t>
      </w:r>
      <w:r>
        <w:rPr>
          <w:rFonts w:ascii="Arial" w:hAnsi="Arial"/>
          <w:sz w:val="22"/>
        </w:rPr>
        <w:t>.</w:t>
      </w:r>
    </w:p>
    <w:p>
      <w:pPr>
        <w:keepNext/>
        <w:spacing w:before="280" w:after="120"/>
        <w:outlineLvl w:val="0"/>
      </w:pPr>
      <w:r>
        <w:rPr>
          <w:rFonts w:ascii="Arial" w:hAnsi="Arial"/>
          <w:b/>
          <w:color w:val="111827"/>
          <w:sz w:val="32"/>
        </w:rPr>
        <w:t>Data Design</w:t>
      </w:r>
    </w:p>
    <w:p>
      <w:pPr>
        <w:spacing w:after="80"/>
      </w:pPr>
      <w:r>
        <w:rPr>
          <w:rFonts w:ascii="Arial" w:hAnsi="Arial"/>
          <w:sz w:val="22"/>
        </w:rPr>
        <w:t>Status: in progress</w:t>
      </w:r>
    </w:p>
    <w:p>
      <w:pPr>
        <w:spacing w:after="80"/>
      </w:pPr>
      <w:r>
        <w:rPr>
          <w:rFonts w:ascii="Arial" w:hAnsi="Arial"/>
          <w:sz w:val="22"/>
        </w:rPr>
        <w:t xml:space="preserve">Relational model in self-hosted PostgreSQL, accessed via EF Core/Npgsql (see </w:t>
      </w:r>
      <w:r>
        <w:rPr>
          <w:rFonts w:ascii="Consolas" w:hAnsi="Consolas"/>
          <w:rFonts w:ascii="Consolas" w:hAnsi="Consolas"/>
          <w:sz w:val="20"/>
        </w:rPr>
        <w:t>adr/0001-technology-stack.md</w:t>
      </w:r>
      <w:r>
        <w:rPr>
          <w:rFonts w:ascii="Arial" w:hAnsi="Arial"/>
          <w:sz w:val="22"/>
        </w:rPr>
        <w:t xml:space="preserve"> as amended by </w:t>
      </w:r>
      <w:r>
        <w:rPr>
          <w:rFonts w:ascii="Consolas" w:hAnsi="Consolas"/>
          <w:rFonts w:ascii="Consolas" w:hAnsi="Consolas"/>
          <w:sz w:val="20"/>
        </w:rPr>
        <w:t>adr/0005-hosting-pivot-self-hosted-vps-postgresql.md</w:t>
      </w:r>
      <w:r>
        <w:rPr>
          <w:rFonts w:ascii="Arial" w:hAnsi="Arial"/>
          <w:sz w:val="22"/>
        </w:rPr>
        <w:t xml:space="preserve">, which replaced the originally-specified Azure SQL Database). Table and column names use snake_case, PostgreSQL's own idiomatic identifier convention (see </w:t>
      </w:r>
      <w:r>
        <w:rPr>
          <w:rFonts w:ascii="Consolas" w:hAnsi="Consolas"/>
          <w:rFonts w:ascii="Consolas" w:hAnsi="Consolas"/>
          <w:sz w:val="20"/>
        </w:rPr>
        <w:t>openwiki/data-access.md</w:t>
      </w:r>
      <w:r>
        <w:rPr>
          <w:rFonts w:ascii="Arial" w:hAnsi="Arial"/>
          <w:sz w:val="22"/>
        </w:rPr>
        <w:t>). Entities below supersede the prior build's Dataverse model — retained conceptually where still valid, revised where discovery resolved an ambiguity (certificates and badges are now first-class tracked entities, not implicit).</w:t>
      </w:r>
    </w:p>
    <w:p>
      <w:pPr>
        <w:keepNext/>
        <w:spacing w:before="200" w:after="80"/>
        <w:outlineLvl w:val="1"/>
      </w:pPr>
      <w:r>
        <w:rPr>
          <w:rFonts w:ascii="Arial" w:hAnsi="Arial"/>
          <w:b/>
          <w:color w:val="1F2937"/>
          <w:sz w:val="26"/>
        </w:rPr>
        <w:t>Entities</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1700"/>
            <w:shd w:val="clear" w:color="auto" w:fill="374151"/>
          </w:tcPr>
          <w:p>
            <w:pPr>
              <w:spacing w:after="40" w:before="40"/>
            </w:pPr>
            <w:r>
              <w:rPr>
                <w:rFonts w:ascii="Arial" w:hAnsi="Arial"/>
                <w:b/>
                <w:color w:val="FFFFFF"/>
                <w:sz w:val="20"/>
              </w:rPr>
              <w:t>Entity</w:t>
            </w:r>
          </w:p>
        </w:tc>
        <w:tc>
          <w:tcPr>
            <w:tcW w:type="dxa" w:w="3662"/>
            <w:shd w:val="clear" w:color="auto" w:fill="374151"/>
          </w:tcPr>
          <w:p>
            <w:pPr>
              <w:spacing w:after="40" w:before="40"/>
            </w:pPr>
            <w:r>
              <w:rPr>
                <w:rFonts w:ascii="Arial" w:hAnsi="Arial"/>
                <w:b/>
                <w:color w:val="FFFFFF"/>
                <w:sz w:val="20"/>
              </w:rPr>
              <w:t>Key fields</w:t>
            </w:r>
          </w:p>
        </w:tc>
        <w:tc>
          <w:tcPr>
            <w:tcW w:type="dxa" w:w="3664"/>
            <w:shd w:val="clear" w:color="auto" w:fill="374151"/>
          </w:tcPr>
          <w:p>
            <w:pPr>
              <w:spacing w:after="40" w:before="40"/>
            </w:pPr>
            <w:r>
              <w:rPr>
                <w:rFonts w:ascii="Arial" w:hAnsi="Arial"/>
                <w:b/>
                <w:color w:val="FFFFFF"/>
                <w:sz w:val="20"/>
              </w:rPr>
              <w:t>Notes</w:t>
            </w:r>
          </w:p>
        </w:tc>
      </w:tr>
      <w:tr>
        <w:tc>
          <w:tcPr>
            <w:tcW w:type="dxa" w:w="1700"/>
            <w:shd w:val="clear" w:color="auto" w:fill="F3F4F6"/>
          </w:tcPr>
          <w:p>
            <w:pPr>
              <w:spacing w:after="40" w:before="40"/>
            </w:pPr>
            <w:r>
              <w:rPr>
                <w:rFonts w:ascii="Arial" w:hAnsi="Arial"/>
                <w:sz w:val="20"/>
              </w:rPr>
              <w:t>Rank</w:t>
            </w:r>
          </w:p>
        </w:tc>
        <w:tc>
          <w:tcPr>
            <w:tcW w:type="dxa" w:w="3662"/>
            <w:shd w:val="clear" w:color="auto" w:fill="F3F4F6"/>
          </w:tcPr>
          <w:p>
            <w:pPr>
              <w:spacing w:after="40" w:before="40"/>
            </w:pPr>
            <w:r>
              <w:rPr>
                <w:rFonts w:ascii="Arial" w:hAnsi="Arial"/>
                <w:sz w:val="20"/>
              </w:rPr>
              <w:t>Id, Order, Code, Name</w:t>
            </w:r>
          </w:p>
        </w:tc>
        <w:tc>
          <w:tcPr>
            <w:tcW w:type="dxa" w:w="3664"/>
            <w:shd w:val="clear" w:color="auto" w:fill="F3F4F6"/>
          </w:tcPr>
          <w:p>
            <w:pPr>
              <w:spacing w:after="40" w:before="40"/>
            </w:pPr>
            <w:r>
              <w:rPr>
                <w:rFonts w:ascii="Arial" w:hAnsi="Arial"/>
                <w:sz w:val="20"/>
              </w:rPr>
              <w:t>The 10-level progression ladder.</w:t>
            </w:r>
          </w:p>
        </w:tc>
      </w:tr>
      <w:tr>
        <w:tc>
          <w:tcPr>
            <w:tcW w:type="dxa" w:w="1700"/>
            <w:shd w:val="clear" w:color="auto" w:fill="FFFFFF"/>
          </w:tcPr>
          <w:p>
            <w:pPr>
              <w:spacing w:after="40" w:before="40"/>
            </w:pPr>
            <w:r>
              <w:rPr>
                <w:rFonts w:ascii="Arial" w:hAnsi="Arial"/>
                <w:sz w:val="20"/>
              </w:rPr>
              <w:t>Lesson</w:t>
            </w:r>
          </w:p>
        </w:tc>
        <w:tc>
          <w:tcPr>
            <w:tcW w:type="dxa" w:w="3662"/>
            <w:shd w:val="clear" w:color="auto" w:fill="FFFFFF"/>
          </w:tcPr>
          <w:p>
            <w:pPr>
              <w:spacing w:after="40" w:before="40"/>
            </w:pPr>
            <w:r>
              <w:rPr>
                <w:rFonts w:ascii="Arial" w:hAnsi="Arial"/>
                <w:sz w:val="20"/>
              </w:rPr>
              <w:t>Id, RankId, Code, Title, ContentBlobKey, IsActive</w:t>
            </w:r>
          </w:p>
        </w:tc>
        <w:tc>
          <w:tcPr>
            <w:tcW w:type="dxa" w:w="3664"/>
            <w:shd w:val="clear" w:color="auto" w:fill="FFFFFF"/>
          </w:tcPr>
          <w:p>
            <w:pPr>
              <w:spacing w:after="40" w:before="40"/>
            </w:pPr>
            <w:r>
              <w:rPr>
                <w:rFonts w:ascii="Arial" w:hAnsi="Arial"/>
                <w:sz w:val="20"/>
              </w:rPr>
              <w:t>Current live version of a lesson's content.</w:t>
            </w:r>
          </w:p>
        </w:tc>
      </w:tr>
      <w:tr>
        <w:tc>
          <w:tcPr>
            <w:tcW w:type="dxa" w:w="1700"/>
            <w:shd w:val="clear" w:color="auto" w:fill="F3F4F6"/>
          </w:tcPr>
          <w:p>
            <w:pPr>
              <w:spacing w:after="40" w:before="40"/>
            </w:pPr>
            <w:r>
              <w:rPr>
                <w:rFonts w:ascii="Arial" w:hAnsi="Arial"/>
                <w:sz w:val="20"/>
              </w:rPr>
              <w:t>LessonChangeProposal</w:t>
            </w:r>
          </w:p>
        </w:tc>
        <w:tc>
          <w:tcPr>
            <w:tcW w:type="dxa" w:w="3662"/>
            <w:shd w:val="clear" w:color="auto" w:fill="F3F4F6"/>
          </w:tcPr>
          <w:p>
            <w:pPr>
              <w:spacing w:after="40" w:before="40"/>
            </w:pPr>
            <w:r>
              <w:rPr>
                <w:rFonts w:ascii="Arial" w:hAnsi="Arial"/>
                <w:sz w:val="20"/>
              </w:rPr>
              <w:t>Id, LessonId (nullable — null for a brand-new lesson), ProposedByUserId, ChangeType (Create/Edit/Retire), ProposedContent, Status (Pending/Approved/Rejected), ApproverUserId, ApprovalComments, SubmittedAt, DecidedAt, ResubmissionOfProposalId (self-referencing)</w:t>
            </w:r>
          </w:p>
        </w:tc>
        <w:tc>
          <w:tcPr>
            <w:tcW w:type="dxa" w:w="3664"/>
            <w:shd w:val="clear" w:color="auto" w:fill="F3F4F6"/>
          </w:tcPr>
          <w:p>
            <w:pPr>
              <w:spacing w:after="40" w:before="40"/>
            </w:pPr>
            <w:r>
              <w:rPr>
                <w:rFonts w:ascii="Arial" w:hAnsi="Arial"/>
                <w:sz w:val="20"/>
              </w:rPr>
              <w:t>Any Teacher proposes; only Approver decides. Rejection supports comments + resubmission via ResubmissionOfProposalId chaining back to the original. Approving applies ProposedContent onto Lesson.</w:t>
            </w:r>
          </w:p>
        </w:tc>
      </w:tr>
      <w:tr>
        <w:tc>
          <w:tcPr>
            <w:tcW w:type="dxa" w:w="1700"/>
            <w:shd w:val="clear" w:color="auto" w:fill="FFFFFF"/>
          </w:tcPr>
          <w:p>
            <w:pPr>
              <w:spacing w:after="40" w:before="40"/>
            </w:pPr>
            <w:r>
              <w:rPr>
                <w:rFonts w:ascii="Arial" w:hAnsi="Arial"/>
                <w:sz w:val="20"/>
              </w:rPr>
              <w:t>Student</w:t>
            </w:r>
          </w:p>
        </w:tc>
        <w:tc>
          <w:tcPr>
            <w:tcW w:type="dxa" w:w="3662"/>
            <w:shd w:val="clear" w:color="auto" w:fill="FFFFFF"/>
          </w:tcPr>
          <w:p>
            <w:pPr>
              <w:spacing w:after="40" w:before="40"/>
            </w:pPr>
            <w:r>
              <w:rPr>
                <w:rFonts w:ascii="Arial" w:hAnsi="Arial"/>
                <w:sz w:val="20"/>
              </w:rPr>
              <w:t>Id, Name, DOB, CurrentRankId, Status (Active/Inactive/Graduated), EnrolmentDate, AssignedTeacherUserId, AppUserId (nullable)</w:t>
            </w:r>
          </w:p>
        </w:tc>
        <w:tc>
          <w:tcPr>
            <w:tcW w:type="dxa" w:w="3664"/>
            <w:shd w:val="clear" w:color="auto" w:fill="FFFFFF"/>
          </w:tcPr>
          <w:p>
            <w:pPr>
              <w:spacing w:after="40" w:before="40"/>
            </w:pPr>
            <w:r>
              <w:rPr>
                <w:rFonts w:ascii="Arial" w:hAnsi="Arial"/>
                <w:sz w:val="20"/>
              </w:rPr>
              <w:t>Duplicate-matching on Name+DOB at registration (carried over as a hypothesis — confirm at build time). AppUserId added during implementation to support self/parent login — see STATE.md.</w:t>
            </w:r>
          </w:p>
        </w:tc>
      </w:tr>
      <w:tr>
        <w:tc>
          <w:tcPr>
            <w:tcW w:type="dxa" w:w="1700"/>
            <w:shd w:val="clear" w:color="auto" w:fill="F3F4F6"/>
          </w:tcPr>
          <w:p>
            <w:pPr>
              <w:spacing w:after="40" w:before="40"/>
            </w:pPr>
            <w:r>
              <w:rPr>
                <w:rFonts w:ascii="Arial" w:hAnsi="Arial"/>
                <w:sz w:val="20"/>
              </w:rPr>
              <w:t>ParentGuardian</w:t>
            </w:r>
          </w:p>
        </w:tc>
        <w:tc>
          <w:tcPr>
            <w:tcW w:type="dxa" w:w="3662"/>
            <w:shd w:val="clear" w:color="auto" w:fill="F3F4F6"/>
          </w:tcPr>
          <w:p>
            <w:pPr>
              <w:spacing w:after="40" w:before="40"/>
            </w:pPr>
            <w:r>
              <w:rPr>
                <w:rFonts w:ascii="Arial" w:hAnsi="Arial"/>
                <w:sz w:val="20"/>
              </w:rPr>
              <w:t>Id, Name, ContactInfo, IsPrimary, AppUserId (nullable)</w:t>
            </w:r>
          </w:p>
        </w:tc>
        <w:tc>
          <w:tcPr>
            <w:tcW w:type="dxa" w:w="3664"/>
            <w:shd w:val="clear" w:color="auto" w:fill="F3F4F6"/>
          </w:tcPr>
          <w:p>
            <w:pPr>
              <w:spacing w:after="40" w:before="40"/>
            </w:pPr>
            <w:r>
              <w:rPr>
                <w:rFonts w:ascii="Arial" w:hAnsi="Arial"/>
                <w:sz w:val="20"/>
              </w:rPr>
              <w:t>AppUserId added during implementation to support self/parent login — see STATE.md.</w:t>
            </w:r>
          </w:p>
        </w:tc>
      </w:tr>
      <w:tr>
        <w:tc>
          <w:tcPr>
            <w:tcW w:type="dxa" w:w="1700"/>
            <w:shd w:val="clear" w:color="auto" w:fill="FFFFFF"/>
          </w:tcPr>
          <w:p>
            <w:pPr>
              <w:spacing w:after="40" w:before="40"/>
            </w:pPr>
            <w:r>
              <w:rPr>
                <w:rFonts w:ascii="Arial" w:hAnsi="Arial"/>
                <w:sz w:val="20"/>
              </w:rPr>
              <w:t>StudentGuardianLink</w:t>
            </w:r>
          </w:p>
        </w:tc>
        <w:tc>
          <w:tcPr>
            <w:tcW w:type="dxa" w:w="3662"/>
            <w:shd w:val="clear" w:color="auto" w:fill="FFFFFF"/>
          </w:tcPr>
          <w:p>
            <w:pPr>
              <w:spacing w:after="40" w:before="40"/>
            </w:pPr>
            <w:r>
              <w:rPr>
                <w:rFonts w:ascii="Arial" w:hAnsi="Arial"/>
                <w:sz w:val="20"/>
              </w:rPr>
              <w:t>StudentId, ParentGuardianId, CreatedByUserId</w:t>
            </w:r>
          </w:p>
        </w:tc>
        <w:tc>
          <w:tcPr>
            <w:tcW w:type="dxa" w:w="3664"/>
            <w:shd w:val="clear" w:color="auto" w:fill="FFFFFF"/>
          </w:tcPr>
          <w:p>
            <w:pPr>
              <w:spacing w:after="40" w:before="40"/>
            </w:pPr>
            <w:r>
              <w:rPr>
                <w:rFonts w:ascii="Arial" w:hAnsi="Arial"/>
                <w:sz w:val="20"/>
              </w:rPr>
              <w:t>Many-to-many: a parent may have several children; a student may have more than one guardian. Created only by Admin/Teacher (at student registration), never by parent self-service — a parent cannot self-declare a relationship to a child. See "Guardian link verification" below.</w:t>
            </w:r>
          </w:p>
        </w:tc>
      </w:tr>
      <w:tr>
        <w:tc>
          <w:tcPr>
            <w:tcW w:type="dxa" w:w="1700"/>
            <w:shd w:val="clear" w:color="auto" w:fill="F3F4F6"/>
          </w:tcPr>
          <w:p>
            <w:pPr>
              <w:spacing w:after="40" w:before="40"/>
            </w:pPr>
            <w:r>
              <w:rPr>
                <w:rFonts w:ascii="Arial" w:hAnsi="Arial"/>
                <w:sz w:val="20"/>
              </w:rPr>
              <w:t>StudentLessonCompletion</w:t>
            </w:r>
          </w:p>
        </w:tc>
        <w:tc>
          <w:tcPr>
            <w:tcW w:type="dxa" w:w="3662"/>
            <w:shd w:val="clear" w:color="auto" w:fill="F3F4F6"/>
          </w:tcPr>
          <w:p>
            <w:pPr>
              <w:spacing w:after="40" w:before="40"/>
            </w:pPr>
            <w:r>
              <w:rPr>
                <w:rFonts w:ascii="Arial" w:hAnsi="Arial"/>
                <w:sz w:val="20"/>
              </w:rPr>
              <w:t>Id, StudentId, LessonId, CompletedByUserId, CompletedAt, Note (optional), IsReversed, ReversedAt</w:t>
            </w:r>
          </w:p>
        </w:tc>
        <w:tc>
          <w:tcPr>
            <w:tcW w:type="dxa" w:w="3664"/>
            <w:shd w:val="clear" w:color="auto" w:fill="F3F4F6"/>
          </w:tcPr>
          <w:p>
            <w:pPr>
              <w:spacing w:after="40" w:before="40"/>
            </w:pPr>
            <w:r>
              <w:rPr>
                <w:rFonts w:ascii="Arial" w:hAnsi="Arial"/>
                <w:sz w:val="20"/>
              </w:rPr>
              <w:t>Teacher marks and can self-correct (IsReversed/ReversedAt) — no separate Admin correction gate.</w:t>
            </w:r>
          </w:p>
        </w:tc>
      </w:tr>
      <w:tr>
        <w:tc>
          <w:tcPr>
            <w:tcW w:type="dxa" w:w="1700"/>
            <w:shd w:val="clear" w:color="auto" w:fill="FFFFFF"/>
          </w:tcPr>
          <w:p>
            <w:pPr>
              <w:spacing w:after="40" w:before="40"/>
            </w:pPr>
            <w:r>
              <w:rPr>
                <w:rFonts w:ascii="Arial" w:hAnsi="Arial"/>
                <w:sz w:val="20"/>
              </w:rPr>
              <w:t>Certificate</w:t>
            </w:r>
          </w:p>
        </w:tc>
        <w:tc>
          <w:tcPr>
            <w:tcW w:type="dxa" w:w="3662"/>
            <w:shd w:val="clear" w:color="auto" w:fill="FFFFFF"/>
          </w:tcPr>
          <w:p>
            <w:pPr>
              <w:spacing w:after="40" w:before="40"/>
            </w:pPr>
            <w:r>
              <w:rPr>
                <w:rFonts w:ascii="Arial" w:hAnsi="Arial"/>
                <w:sz w:val="20"/>
              </w:rPr>
              <w:t>Id, StudentLessonCompletionId, GeneratedAt, BlobKey (PDF)</w:t>
            </w:r>
          </w:p>
        </w:tc>
        <w:tc>
          <w:tcPr>
            <w:tcW w:type="dxa" w:w="3664"/>
            <w:shd w:val="clear" w:color="auto" w:fill="FFFFFF"/>
          </w:tcPr>
          <w:p>
            <w:pPr>
              <w:spacing w:after="40" w:before="40"/>
            </w:pPr>
            <w:r>
              <w:rPr>
                <w:rFonts w:ascii="Arial" w:hAnsi="Arial"/>
                <w:sz w:val="20"/>
              </w:rPr>
              <w:t>Auto-generated on completion (QuestPDF). Real tracked record, not implicit. No hard delete/revocation on reversal — the row and PDF persist — but a Certificate whose StudentLessonCompletion.IsReversed == true is excluded from parent-facing display (Philip's decision, 2026-07-20, STATE.md — see openwiki/parent-dashboard.md; this superseded an earlier "no gap found" conclusion, so do not silently revert it).</w:t>
            </w:r>
          </w:p>
        </w:tc>
      </w:tr>
      <w:tr>
        <w:tc>
          <w:tcPr>
            <w:tcW w:type="dxa" w:w="1700"/>
            <w:shd w:val="clear" w:color="auto" w:fill="F3F4F6"/>
          </w:tcPr>
          <w:p>
            <w:pPr>
              <w:spacing w:after="40" w:before="40"/>
            </w:pPr>
            <w:r>
              <w:rPr>
                <w:rFonts w:ascii="Arial" w:hAnsi="Arial"/>
                <w:sz w:val="20"/>
              </w:rPr>
              <w:t>RankBadge</w:t>
            </w:r>
          </w:p>
        </w:tc>
        <w:tc>
          <w:tcPr>
            <w:tcW w:type="dxa" w:w="3662"/>
            <w:shd w:val="clear" w:color="auto" w:fill="F3F4F6"/>
          </w:tcPr>
          <w:p>
            <w:pPr>
              <w:spacing w:after="40" w:before="40"/>
            </w:pPr>
            <w:r>
              <w:rPr>
                <w:rFonts w:ascii="Arial" w:hAnsi="Arial"/>
                <w:sz w:val="20"/>
              </w:rPr>
              <w:t>Id, RankId, ImageBlobKey</w:t>
            </w:r>
          </w:p>
        </w:tc>
        <w:tc>
          <w:tcPr>
            <w:tcW w:type="dxa" w:w="3664"/>
            <w:shd w:val="clear" w:color="auto" w:fill="F3F4F6"/>
          </w:tcPr>
          <w:p>
            <w:pPr>
              <w:spacing w:after="40" w:before="40"/>
            </w:pPr>
            <w:r>
              <w:rPr>
                <w:rFonts w:ascii="Arial" w:hAnsi="Arial"/>
                <w:sz w:val="20"/>
              </w:rPr>
              <w:t>One badge per rank.</w:t>
            </w:r>
          </w:p>
        </w:tc>
      </w:tr>
      <w:tr>
        <w:tc>
          <w:tcPr>
            <w:tcW w:type="dxa" w:w="1700"/>
            <w:shd w:val="clear" w:color="auto" w:fill="FFFFFF"/>
          </w:tcPr>
          <w:p>
            <w:pPr>
              <w:spacing w:after="40" w:before="40"/>
            </w:pPr>
            <w:r>
              <w:rPr>
                <w:rFonts w:ascii="Arial" w:hAnsi="Arial"/>
                <w:sz w:val="20"/>
              </w:rPr>
              <w:t>StudentBadge</w:t>
            </w:r>
          </w:p>
        </w:tc>
        <w:tc>
          <w:tcPr>
            <w:tcW w:type="dxa" w:w="3662"/>
            <w:shd w:val="clear" w:color="auto" w:fill="FFFFFF"/>
          </w:tcPr>
          <w:p>
            <w:pPr>
              <w:spacing w:after="40" w:before="40"/>
            </w:pPr>
            <w:r>
              <w:rPr>
                <w:rFonts w:ascii="Arial" w:hAnsi="Arial"/>
                <w:sz w:val="20"/>
              </w:rPr>
              <w:t>Id, StudentId, RankBadgeId, AwardedAt</w:t>
            </w:r>
          </w:p>
        </w:tc>
        <w:tc>
          <w:tcPr>
            <w:tcW w:type="dxa" w:w="3664"/>
            <w:shd w:val="clear" w:color="auto" w:fill="FFFFFF"/>
          </w:tcPr>
          <w:p>
            <w:pPr>
              <w:spacing w:after="40" w:before="40"/>
            </w:pPr>
            <w:r>
              <w:rPr>
                <w:rFonts w:ascii="Arial" w:hAnsi="Arial"/>
                <w:sz w:val="20"/>
              </w:rPr>
              <w:t>Awarded on promotion. Real tracked record, not implicit.</w:t>
            </w:r>
          </w:p>
        </w:tc>
      </w:tr>
      <w:tr>
        <w:tc>
          <w:tcPr>
            <w:tcW w:type="dxa" w:w="1700"/>
            <w:shd w:val="clear" w:color="auto" w:fill="F3F4F6"/>
          </w:tcPr>
          <w:p>
            <w:pPr>
              <w:spacing w:after="40" w:before="40"/>
            </w:pPr>
            <w:r>
              <w:rPr>
                <w:rFonts w:ascii="Arial" w:hAnsi="Arial"/>
                <w:sz w:val="20"/>
              </w:rPr>
              <w:t>StudentRankProgress</w:t>
            </w:r>
          </w:p>
        </w:tc>
        <w:tc>
          <w:tcPr>
            <w:tcW w:type="dxa" w:w="3662"/>
            <w:shd w:val="clear" w:color="auto" w:fill="F3F4F6"/>
          </w:tcPr>
          <w:p>
            <w:pPr>
              <w:spacing w:after="40" w:before="40"/>
            </w:pPr>
            <w:r>
              <w:rPr>
                <w:rFonts w:ascii="Arial" w:hAnsi="Arial"/>
                <w:sz w:val="20"/>
              </w:rPr>
              <w:t>Id, StudentId, RankId, StartedAt, CompletedAt</w:t>
            </w:r>
          </w:p>
        </w:tc>
        <w:tc>
          <w:tcPr>
            <w:tcW w:type="dxa" w:w="3664"/>
            <w:shd w:val="clear" w:color="auto" w:fill="F3F4F6"/>
          </w:tcPr>
          <w:p>
            <w:pPr>
              <w:spacing w:after="40" w:before="40"/>
            </w:pPr>
            <w:r>
              <w:rPr>
                <w:rFonts w:ascii="Arial" w:hAnsi="Arial"/>
                <w:sz w:val="20"/>
              </w:rPr>
              <w:t>Promotion history; a new row starts when a student enters a rank, closes when they complete it (auto-promotion trigger).</w:t>
            </w:r>
          </w:p>
        </w:tc>
      </w:tr>
      <w:tr>
        <w:tc>
          <w:tcPr>
            <w:tcW w:type="dxa" w:w="1700"/>
            <w:shd w:val="clear" w:color="auto" w:fill="FFFFFF"/>
          </w:tcPr>
          <w:p>
            <w:pPr>
              <w:spacing w:after="40" w:before="40"/>
            </w:pPr>
            <w:r>
              <w:rPr>
                <w:rFonts w:ascii="Arial" w:hAnsi="Arial"/>
                <w:sz w:val="20"/>
              </w:rPr>
              <w:t>ConsentRecord</w:t>
            </w:r>
          </w:p>
        </w:tc>
        <w:tc>
          <w:tcPr>
            <w:tcW w:type="dxa" w:w="3662"/>
            <w:shd w:val="clear" w:color="auto" w:fill="FFFFFF"/>
          </w:tcPr>
          <w:p>
            <w:pPr>
              <w:spacing w:after="40" w:before="40"/>
            </w:pPr>
            <w:r>
              <w:rPr>
                <w:rFonts w:ascii="Arial" w:hAnsi="Arial"/>
                <w:sz w:val="20"/>
              </w:rPr>
              <w:t>Id, StudentId, PeriodStart, PeriodEnd (annual), PhotoMediaConsent, TransportOffsiteConsent, DataSharingConsent, Status (Pending/Approved/Rejected), SubmittedByParentId, ApprovedByUserId (Safeguarding Officer or Admin — not the Approver role, which is curriculum-only), ExpiryDate</w:t>
            </w:r>
          </w:p>
        </w:tc>
        <w:tc>
          <w:tcPr>
            <w:tcW w:type="dxa" w:w="3664"/>
            <w:shd w:val="clear" w:color="auto" w:fill="FFFFFF"/>
          </w:tcPr>
          <w:p>
            <w:pPr>
              <w:spacing w:after="40" w:before="40"/>
            </w:pPr>
            <w:r>
              <w:rPr>
                <w:rFonts w:ascii="Arial" w:hAnsi="Arial"/>
                <w:sz w:val="20"/>
              </w:rPr>
              <w:t>Contains no sensitive fields (see design-review correction below) — Status/ExpiryDate must be readable by Teacher to enforce the consent-blocks-completion rule (FR-003), so this entity is deliberately not subject to the sensitive-data query filter. Annual renewal. Expiry blocks StudentLessonCompletion creation for that student.</w:t>
            </w:r>
          </w:p>
        </w:tc>
      </w:tr>
      <w:tr>
        <w:tc>
          <w:tcPr>
            <w:tcW w:type="dxa" w:w="1700"/>
            <w:shd w:val="clear" w:color="auto" w:fill="F3F4F6"/>
          </w:tcPr>
          <w:p>
            <w:pPr>
              <w:spacing w:after="40" w:before="40"/>
            </w:pPr>
            <w:r>
              <w:rPr>
                <w:rFonts w:ascii="Arial" w:hAnsi="Arial"/>
                <w:sz w:val="20"/>
              </w:rPr>
              <w:t>ConsentSensitiveDetails</w:t>
            </w:r>
          </w:p>
        </w:tc>
        <w:tc>
          <w:tcPr>
            <w:tcW w:type="dxa" w:w="3662"/>
            <w:shd w:val="clear" w:color="auto" w:fill="F3F4F6"/>
          </w:tcPr>
          <w:p>
            <w:pPr>
              <w:spacing w:after="40" w:before="40"/>
            </w:pPr>
            <w:r>
              <w:rPr>
                <w:rFonts w:ascii="Arial" w:hAnsi="Arial"/>
                <w:sz w:val="20"/>
              </w:rPr>
              <w:t>Id, ConsentRecordId (1:1), EmergencyMedicalInfo, DietarySEN, EmergencyContact</w:t>
            </w:r>
          </w:p>
        </w:tc>
        <w:tc>
          <w:tcPr>
            <w:tcW w:type="dxa" w:w="3664"/>
            <w:shd w:val="clear" w:color="auto" w:fill="F3F4F6"/>
          </w:tcPr>
          <w:p>
            <w:pPr>
              <w:spacing w:after="40" w:before="40"/>
            </w:pPr>
            <w:r>
              <w:rPr>
                <w:rFonts w:ascii="Arial" w:hAnsi="Arial"/>
                <w:sz w:val="20"/>
              </w:rPr>
              <w:t>Split out from ConsentRecord at design review: EF Core global query filters restrict access at the whole-entity/row level, not per-column, so a field that must be hidden from a role that otherwise needs the rest of the row cannot be masked in place — it has to live in its own entity. This entity is subject to the same whole-entity restriction as DbsCheck: visible only to Admin and Safeguarding Officer.</w:t>
            </w:r>
          </w:p>
        </w:tc>
      </w:tr>
      <w:tr>
        <w:tc>
          <w:tcPr>
            <w:tcW w:type="dxa" w:w="1700"/>
            <w:shd w:val="clear" w:color="auto" w:fill="FFFFFF"/>
          </w:tcPr>
          <w:p>
            <w:pPr>
              <w:spacing w:after="40" w:before="40"/>
            </w:pPr>
            <w:r>
              <w:rPr>
                <w:rFonts w:ascii="Arial" w:hAnsi="Arial"/>
                <w:sz w:val="20"/>
              </w:rPr>
              <w:t>DbsCheck</w:t>
            </w:r>
          </w:p>
        </w:tc>
        <w:tc>
          <w:tcPr>
            <w:tcW w:type="dxa" w:w="3662"/>
            <w:shd w:val="clear" w:color="auto" w:fill="FFFFFF"/>
          </w:tcPr>
          <w:p>
            <w:pPr>
              <w:spacing w:after="40" w:before="40"/>
            </w:pPr>
            <w:r>
              <w:rPr>
                <w:rFonts w:ascii="Arial" w:hAnsi="Arial"/>
                <w:sz w:val="20"/>
              </w:rPr>
              <w:t>Id, TeacherUserId, CheckDate, ExpiryDate, CertificateNumber, Status</w:t>
            </w:r>
          </w:p>
        </w:tc>
        <w:tc>
          <w:tcPr>
            <w:tcW w:type="dxa" w:w="3664"/>
            <w:shd w:val="clear" w:color="auto" w:fill="FFFFFF"/>
          </w:tcPr>
          <w:p>
            <w:pPr>
              <w:spacing w:after="40" w:before="40"/>
            </w:pPr>
            <w:r>
              <w:rPr>
                <w:rFonts w:ascii="Arial" w:hAnsi="Arial"/>
                <w:sz w:val="20"/>
              </w:rPr>
              <w:t>Access restricted entirely to Safeguarding Officer and Admin via the sensitive-data query filter — Teacher and Approver have no access at all (whole entity, not column-level, so the filter mechanism applies correctly here).</w:t>
            </w:r>
          </w:p>
        </w:tc>
      </w:tr>
      <w:tr>
        <w:tc>
          <w:tcPr>
            <w:tcW w:type="dxa" w:w="1700"/>
            <w:shd w:val="clear" w:color="auto" w:fill="F3F4F6"/>
          </w:tcPr>
          <w:p>
            <w:pPr>
              <w:spacing w:after="40" w:before="40"/>
            </w:pPr>
            <w:r>
              <w:rPr>
                <w:rFonts w:ascii="Arial" w:hAnsi="Arial"/>
                <w:sz w:val="20"/>
              </w:rPr>
              <w:t>AppUser</w:t>
            </w:r>
          </w:p>
        </w:tc>
        <w:tc>
          <w:tcPr>
            <w:tcW w:type="dxa" w:w="3662"/>
            <w:shd w:val="clear" w:color="auto" w:fill="F3F4F6"/>
          </w:tcPr>
          <w:p>
            <w:pPr>
              <w:spacing w:after="40" w:before="40"/>
            </w:pPr>
            <w:r>
              <w:rPr>
                <w:rFonts w:ascii="Arial" w:hAnsi="Arial"/>
                <w:sz w:val="20"/>
              </w:rPr>
              <w:t>Id, DisplayName, Email</w:t>
            </w:r>
          </w:p>
        </w:tc>
        <w:tc>
          <w:tcPr>
            <w:tcW w:type="dxa" w:w="3664"/>
            <w:shd w:val="clear" w:color="auto" w:fill="F3F4F6"/>
          </w:tcPr>
          <w:p>
            <w:pPr>
              <w:spacing w:after="40" w:before="40"/>
            </w:pPr>
            <w:r>
              <w:rPr>
                <w:rFonts w:ascii="Arial" w:hAnsi="Arial"/>
                <w:sz w:val="20"/>
              </w:rPr>
              <w:t>The application's own user/profile record. Shares its primary key with VlmsIdentityUser — ASP.NET Core Identity's own credential row, Vlms.Infrastructure — by convention (same Id value), not a foreign key; see adr/0001-technology-stack.md as amended by adr/0005-hosting-pivot-self-hosted-vps-postgresql.md (originally mapped to the Microsoft Entra External ID identity via an EntraObjectId field, now removed) and openwiki/authentication-authorization.md's coexistence section for the full reasoning.</w:t>
            </w:r>
          </w:p>
        </w:tc>
      </w:tr>
      <w:tr>
        <w:tc>
          <w:tcPr>
            <w:tcW w:type="dxa" w:w="1700"/>
            <w:shd w:val="clear" w:color="auto" w:fill="FFFFFF"/>
          </w:tcPr>
          <w:p>
            <w:pPr>
              <w:spacing w:after="40" w:before="40"/>
            </w:pPr>
            <w:r>
              <w:rPr>
                <w:rFonts w:ascii="Arial" w:hAnsi="Arial"/>
                <w:sz w:val="20"/>
              </w:rPr>
              <w:t>UserRole</w:t>
            </w:r>
          </w:p>
        </w:tc>
        <w:tc>
          <w:tcPr>
            <w:tcW w:type="dxa" w:w="3662"/>
            <w:shd w:val="clear" w:color="auto" w:fill="FFFFFF"/>
          </w:tcPr>
          <w:p>
            <w:pPr>
              <w:spacing w:after="40" w:before="40"/>
            </w:pPr>
            <w:r>
              <w:rPr>
                <w:rFonts w:ascii="Arial" w:hAnsi="Arial"/>
                <w:sz w:val="20"/>
              </w:rPr>
              <w:t>UserId, Role</w:t>
            </w:r>
          </w:p>
        </w:tc>
        <w:tc>
          <w:tcPr>
            <w:tcW w:type="dxa" w:w="3664"/>
            <w:shd w:val="clear" w:color="auto" w:fill="FFFFFF"/>
          </w:tcPr>
          <w:p>
            <w:pPr>
              <w:spacing w:after="40" w:before="40"/>
            </w:pPr>
            <w:r>
              <w:rPr>
                <w:rFonts w:ascii="Arial" w:hAnsi="Arial"/>
                <w:sz w:val="20"/>
              </w:rPr>
              <w:t>Role ∈ {Admin, Teacher, Approver, Parent, Student, SafeguardingOfficer}. A single user may hold more than one role (e.g. a Teacher who is also the Approver).</w:t>
            </w:r>
          </w:p>
        </w:tc>
      </w:tr>
      <w:tr>
        <w:tc>
          <w:tcPr>
            <w:tcW w:type="dxa" w:w="1700"/>
            <w:shd w:val="clear" w:color="auto" w:fill="F3F4F6"/>
          </w:tcPr>
          <w:p>
            <w:pPr>
              <w:spacing w:after="40" w:before="40"/>
            </w:pPr>
            <w:r>
              <w:rPr>
                <w:rFonts w:ascii="Arial" w:hAnsi="Arial"/>
                <w:sz w:val="20"/>
              </w:rPr>
              <w:t>SensitiveDataAccessLog</w:t>
            </w:r>
          </w:p>
        </w:tc>
        <w:tc>
          <w:tcPr>
            <w:tcW w:type="dxa" w:w="3662"/>
            <w:shd w:val="clear" w:color="auto" w:fill="F3F4F6"/>
          </w:tcPr>
          <w:p>
            <w:pPr>
              <w:spacing w:after="40" w:before="40"/>
            </w:pPr>
            <w:r>
              <w:rPr>
                <w:rFonts w:ascii="Arial" w:hAnsi="Arial"/>
                <w:sz w:val="20"/>
              </w:rPr>
              <w:t>Id, UserId, Entity (DbsCheck/ConsentSensitiveDetails), EntityId, AccessedAt, AccessType (View/Export)</w:t>
            </w:r>
          </w:p>
        </w:tc>
        <w:tc>
          <w:tcPr>
            <w:tcW w:type="dxa" w:w="3664"/>
            <w:shd w:val="clear" w:color="auto" w:fill="F3F4F6"/>
          </w:tcPr>
          <w:p>
            <w:pPr>
              <w:spacing w:after="40" w:before="40"/>
            </w:pPr>
            <w:r>
              <w:rPr>
                <w:rFonts w:ascii="Arial" w:hAnsi="Arial"/>
                <w:sz w:val="20"/>
              </w:rPr>
              <w:t>Audit trail of reads, not just writes, of safeguarding data — see security note below. Write-once; update/delete denied at the database permission level (see below), not just by application convention.</w:t>
            </w:r>
          </w:p>
        </w:tc>
      </w:tr>
    </w:tbl>
    <w:p>
      <w:pPr>
        <w:spacing w:after="80"/>
      </w:pPr>
    </w:p>
    <w:p>
      <w:pPr>
        <w:keepNext/>
        <w:spacing w:before="200" w:after="80"/>
        <w:outlineLvl w:val="1"/>
      </w:pPr>
      <w:r>
        <w:rPr>
          <w:rFonts w:ascii="Arial" w:hAnsi="Arial"/>
          <w:b/>
          <w:color w:val="1F2937"/>
          <w:sz w:val="26"/>
        </w:rPr>
        <w:t>Relationships (summary)</w:t>
      </w:r>
    </w:p>
    <w:p>
      <w:pPr>
        <w:spacing w:after="40"/>
        <w:ind w:left="620" w:hanging="260"/>
      </w:pPr>
      <w:r>
        <w:rPr>
          <w:rFonts w:ascii="Arial" w:hAnsi="Arial"/>
          <w:sz w:val="22"/>
        </w:rPr>
        <w:t xml:space="preserve">•  </w:t>
      </w:r>
      <w:r>
        <w:rPr>
          <w:rFonts w:ascii="Consolas" w:hAnsi="Consolas"/>
          <w:rFonts w:ascii="Consolas" w:hAnsi="Consolas"/>
          <w:sz w:val="20"/>
        </w:rPr>
        <w:t>Rank</w:t>
      </w:r>
      <w:r>
        <w:rPr>
          <w:rFonts w:ascii="Arial" w:hAnsi="Arial"/>
          <w:sz w:val="22"/>
        </w:rPr>
        <w:t xml:space="preserve"> 1:N </w:t>
      </w:r>
      <w:r>
        <w:rPr>
          <w:rFonts w:ascii="Consolas" w:hAnsi="Consolas"/>
          <w:rFonts w:ascii="Consolas" w:hAnsi="Consolas"/>
          <w:sz w:val="20"/>
        </w:rPr>
        <w:t>Lesson</w:t>
      </w:r>
      <w:r>
        <w:rPr>
          <w:rFonts w:ascii="Arial" w:hAnsi="Arial"/>
          <w:sz w:val="22"/>
        </w:rPr>
        <w:t xml:space="preserve">, 1:N </w:t>
      </w:r>
      <w:r>
        <w:rPr>
          <w:rFonts w:ascii="Consolas" w:hAnsi="Consolas"/>
          <w:rFonts w:ascii="Consolas" w:hAnsi="Consolas"/>
          <w:sz w:val="20"/>
        </w:rPr>
        <w:t>RankBadge</w:t>
      </w:r>
      <w:r>
        <w:rPr>
          <w:rFonts w:ascii="Arial" w:hAnsi="Arial"/>
          <w:sz w:val="22"/>
        </w:rPr>
        <w:t>.</w:t>
      </w:r>
    </w:p>
    <w:p>
      <w:pPr>
        <w:spacing w:after="40"/>
        <w:ind w:left="620" w:hanging="260"/>
      </w:pPr>
      <w:r>
        <w:rPr>
          <w:rFonts w:ascii="Arial" w:hAnsi="Arial"/>
          <w:sz w:val="22"/>
        </w:rPr>
        <w:t xml:space="preserve">•  </w:t>
      </w:r>
      <w:r>
        <w:rPr>
          <w:rFonts w:ascii="Consolas" w:hAnsi="Consolas"/>
          <w:rFonts w:ascii="Consolas" w:hAnsi="Consolas"/>
          <w:sz w:val="20"/>
        </w:rPr>
        <w:t>Lesson</w:t>
      </w:r>
      <w:r>
        <w:rPr>
          <w:rFonts w:ascii="Arial" w:hAnsi="Arial"/>
          <w:sz w:val="22"/>
        </w:rPr>
        <w:t xml:space="preserve"> 1:N </w:t>
      </w:r>
      <w:r>
        <w:rPr>
          <w:rFonts w:ascii="Consolas" w:hAnsi="Consolas"/>
          <w:rFonts w:ascii="Consolas" w:hAnsi="Consolas"/>
          <w:sz w:val="20"/>
        </w:rPr>
        <w:t>LessonChangeProposal</w:t>
      </w:r>
      <w:r>
        <w:rPr>
          <w:rFonts w:ascii="Arial" w:hAnsi="Arial"/>
          <w:sz w:val="22"/>
        </w:rPr>
        <w:t xml:space="preserve">, 1:N </w:t>
      </w:r>
      <w:r>
        <w:rPr>
          <w:rFonts w:ascii="Consolas" w:hAnsi="Consolas"/>
          <w:rFonts w:ascii="Consolas" w:hAnsi="Consolas"/>
          <w:sz w:val="20"/>
        </w:rPr>
        <w:t>StudentLessonCompletion</w:t>
      </w:r>
      <w:r>
        <w:rPr>
          <w:rFonts w:ascii="Arial" w:hAnsi="Arial"/>
          <w:sz w:val="22"/>
        </w:rPr>
        <w:t>.</w:t>
      </w:r>
    </w:p>
    <w:p>
      <w:pPr>
        <w:spacing w:after="40"/>
        <w:ind w:left="620" w:hanging="260"/>
      </w:pPr>
      <w:r>
        <w:rPr>
          <w:rFonts w:ascii="Arial" w:hAnsi="Arial"/>
          <w:sz w:val="22"/>
        </w:rPr>
        <w:t xml:space="preserve">•  </w:t>
      </w:r>
      <w:r>
        <w:rPr>
          <w:rFonts w:ascii="Consolas" w:hAnsi="Consolas"/>
          <w:rFonts w:ascii="Consolas" w:hAnsi="Consolas"/>
          <w:sz w:val="20"/>
        </w:rPr>
        <w:t>Student</w:t>
      </w:r>
      <w:r>
        <w:rPr>
          <w:rFonts w:ascii="Arial" w:hAnsi="Arial"/>
          <w:sz w:val="22"/>
        </w:rPr>
        <w:t xml:space="preserve"> 1:N </w:t>
      </w:r>
      <w:r>
        <w:rPr>
          <w:rFonts w:ascii="Consolas" w:hAnsi="Consolas"/>
          <w:rFonts w:ascii="Consolas" w:hAnsi="Consolas"/>
          <w:sz w:val="20"/>
        </w:rPr>
        <w:t>StudentLessonCompletion</w:t>
      </w:r>
      <w:r>
        <w:rPr>
          <w:rFonts w:ascii="Arial" w:hAnsi="Arial"/>
          <w:sz w:val="22"/>
        </w:rPr>
        <w:t xml:space="preserve">, 1:N </w:t>
      </w:r>
      <w:r>
        <w:rPr>
          <w:rFonts w:ascii="Consolas" w:hAnsi="Consolas"/>
          <w:rFonts w:ascii="Consolas" w:hAnsi="Consolas"/>
          <w:sz w:val="20"/>
        </w:rPr>
        <w:t>StudentRankProgress</w:t>
      </w:r>
      <w:r>
        <w:rPr>
          <w:rFonts w:ascii="Arial" w:hAnsi="Arial"/>
          <w:sz w:val="22"/>
        </w:rPr>
        <w:t xml:space="preserve">, 1:N </w:t>
      </w:r>
      <w:r>
        <w:rPr>
          <w:rFonts w:ascii="Consolas" w:hAnsi="Consolas"/>
          <w:rFonts w:ascii="Consolas" w:hAnsi="Consolas"/>
          <w:sz w:val="20"/>
        </w:rPr>
        <w:t>StudentBadge</w:t>
      </w:r>
      <w:r>
        <w:rPr>
          <w:rFonts w:ascii="Arial" w:hAnsi="Arial"/>
          <w:sz w:val="22"/>
        </w:rPr>
        <w:t xml:space="preserve">, 1:N </w:t>
      </w:r>
      <w:r>
        <w:rPr>
          <w:rFonts w:ascii="Consolas" w:hAnsi="Consolas"/>
          <w:rFonts w:ascii="Consolas" w:hAnsi="Consolas"/>
          <w:sz w:val="20"/>
        </w:rPr>
        <w:t>ConsentRecord</w:t>
      </w:r>
      <w:r>
        <w:rPr>
          <w:rFonts w:ascii="Arial" w:hAnsi="Arial"/>
          <w:sz w:val="22"/>
        </w:rPr>
        <w:t xml:space="preserve">; N:N </w:t>
      </w:r>
      <w:r>
        <w:rPr>
          <w:rFonts w:ascii="Consolas" w:hAnsi="Consolas"/>
          <w:rFonts w:ascii="Consolas" w:hAnsi="Consolas"/>
          <w:sz w:val="20"/>
        </w:rPr>
        <w:t>ParentGuardian</w:t>
      </w:r>
      <w:r>
        <w:rPr>
          <w:rFonts w:ascii="Arial" w:hAnsi="Arial"/>
          <w:sz w:val="22"/>
        </w:rPr>
        <w:t xml:space="preserve"> via </w:t>
      </w:r>
      <w:r>
        <w:rPr>
          <w:rFonts w:ascii="Consolas" w:hAnsi="Consolas"/>
          <w:rFonts w:ascii="Consolas" w:hAnsi="Consolas"/>
          <w:sz w:val="20"/>
        </w:rPr>
        <w:t>StudentGuardianLink</w:t>
      </w:r>
      <w:r>
        <w:rPr>
          <w:rFonts w:ascii="Arial" w:hAnsi="Arial"/>
          <w:sz w:val="22"/>
        </w:rPr>
        <w:t>.</w:t>
      </w:r>
    </w:p>
    <w:p>
      <w:pPr>
        <w:spacing w:after="40"/>
        <w:ind w:left="620" w:hanging="260"/>
      </w:pPr>
      <w:r>
        <w:rPr>
          <w:rFonts w:ascii="Arial" w:hAnsi="Arial"/>
          <w:sz w:val="22"/>
        </w:rPr>
        <w:t xml:space="preserve">•  </w:t>
      </w:r>
      <w:r>
        <w:rPr>
          <w:rFonts w:ascii="Consolas" w:hAnsi="Consolas"/>
          <w:rFonts w:ascii="Consolas" w:hAnsi="Consolas"/>
          <w:sz w:val="20"/>
        </w:rPr>
        <w:t>ConsentRecord</w:t>
      </w:r>
      <w:r>
        <w:rPr>
          <w:rFonts w:ascii="Arial" w:hAnsi="Arial"/>
          <w:sz w:val="22"/>
        </w:rPr>
        <w:t xml:space="preserve"> 1:1 </w:t>
      </w:r>
      <w:r>
        <w:rPr>
          <w:rFonts w:ascii="Consolas" w:hAnsi="Consolas"/>
          <w:rFonts w:ascii="Consolas" w:hAnsi="Consolas"/>
          <w:sz w:val="20"/>
        </w:rPr>
        <w:t>ConsentSensitiveDetails</w:t>
      </w:r>
      <w:r>
        <w:rPr>
          <w:rFonts w:ascii="Arial" w:hAnsi="Arial"/>
          <w:sz w:val="22"/>
        </w:rPr>
        <w:t xml:space="preserve"> (the entity split described above).</w:t>
      </w:r>
    </w:p>
    <w:p>
      <w:pPr>
        <w:spacing w:after="40"/>
        <w:ind w:left="620" w:hanging="260"/>
      </w:pPr>
      <w:r>
        <w:rPr>
          <w:rFonts w:ascii="Arial" w:hAnsi="Arial"/>
          <w:sz w:val="22"/>
        </w:rPr>
        <w:t xml:space="preserve">•  </w:t>
      </w:r>
      <w:r>
        <w:rPr>
          <w:rFonts w:ascii="Consolas" w:hAnsi="Consolas"/>
          <w:rFonts w:ascii="Consolas" w:hAnsi="Consolas"/>
          <w:sz w:val="20"/>
        </w:rPr>
        <w:t>StudentLessonCompletion</w:t>
      </w:r>
      <w:r>
        <w:rPr>
          <w:rFonts w:ascii="Arial" w:hAnsi="Arial"/>
          <w:sz w:val="22"/>
        </w:rPr>
        <w:t xml:space="preserve"> 1:1 </w:t>
      </w:r>
      <w:r>
        <w:rPr>
          <w:rFonts w:ascii="Consolas" w:hAnsi="Consolas"/>
          <w:rFonts w:ascii="Consolas" w:hAnsi="Consolas"/>
          <w:sz w:val="20"/>
        </w:rPr>
        <w:t>Certificate</w:t>
      </w:r>
      <w:r>
        <w:rPr>
          <w:rFonts w:ascii="Arial" w:hAnsi="Arial"/>
          <w:sz w:val="22"/>
        </w:rPr>
        <w:t xml:space="preserve"> (nullable until generated).</w:t>
      </w:r>
    </w:p>
    <w:p>
      <w:pPr>
        <w:spacing w:after="40"/>
        <w:ind w:left="620" w:hanging="260"/>
      </w:pPr>
      <w:r>
        <w:rPr>
          <w:rFonts w:ascii="Arial" w:hAnsi="Arial"/>
          <w:sz w:val="22"/>
        </w:rPr>
        <w:t xml:space="preserve">•  </w:t>
      </w:r>
      <w:r>
        <w:rPr>
          <w:rFonts w:ascii="Consolas" w:hAnsi="Consolas"/>
          <w:rFonts w:ascii="Consolas" w:hAnsi="Consolas"/>
          <w:sz w:val="20"/>
        </w:rPr>
        <w:t>AppUser</w:t>
      </w:r>
      <w:r>
        <w:rPr>
          <w:rFonts w:ascii="Arial" w:hAnsi="Arial"/>
          <w:sz w:val="22"/>
        </w:rPr>
        <w:t xml:space="preserve"> 1:N </w:t>
      </w:r>
      <w:r>
        <w:rPr>
          <w:rFonts w:ascii="Consolas" w:hAnsi="Consolas"/>
          <w:rFonts w:ascii="Consolas" w:hAnsi="Consolas"/>
          <w:sz w:val="20"/>
        </w:rPr>
        <w:t>UserRole</w:t>
      </w:r>
      <w:r>
        <w:rPr>
          <w:rFonts w:ascii="Arial" w:hAnsi="Arial"/>
          <w:sz w:val="22"/>
        </w:rPr>
        <w:t xml:space="preserve">; referenced by </w:t>
      </w:r>
      <w:r>
        <w:rPr>
          <w:rFonts w:ascii="Consolas" w:hAnsi="Consolas"/>
          <w:rFonts w:ascii="Consolas" w:hAnsi="Consolas"/>
          <w:sz w:val="20"/>
        </w:rPr>
        <w:t>Student.AssignedTeacherUserId</w:t>
      </w:r>
      <w:r>
        <w:rPr>
          <w:rFonts w:ascii="Arial" w:hAnsi="Arial"/>
          <w:sz w:val="22"/>
        </w:rPr>
        <w:t xml:space="preserve">, </w:t>
      </w:r>
      <w:r>
        <w:rPr>
          <w:rFonts w:ascii="Consolas" w:hAnsi="Consolas"/>
          <w:rFonts w:ascii="Consolas" w:hAnsi="Consolas"/>
          <w:sz w:val="20"/>
        </w:rPr>
        <w:t>Student.AppUserId</w:t>
      </w:r>
      <w:r>
        <w:rPr>
          <w:rFonts w:ascii="Arial" w:hAnsi="Arial"/>
          <w:sz w:val="22"/>
        </w:rPr>
        <w:t xml:space="preserve"> (self-login), </w:t>
      </w:r>
      <w:r>
        <w:rPr>
          <w:rFonts w:ascii="Consolas" w:hAnsi="Consolas"/>
          <w:rFonts w:ascii="Consolas" w:hAnsi="Consolas"/>
          <w:sz w:val="20"/>
        </w:rPr>
        <w:t>ParentGuardian.AppUserId</w:t>
      </w:r>
      <w:r>
        <w:rPr>
          <w:rFonts w:ascii="Arial" w:hAnsi="Arial"/>
          <w:sz w:val="22"/>
        </w:rPr>
        <w:t xml:space="preserve"> (parent-login), </w:t>
      </w:r>
      <w:r>
        <w:rPr>
          <w:rFonts w:ascii="Consolas" w:hAnsi="Consolas"/>
          <w:rFonts w:ascii="Consolas" w:hAnsi="Consolas"/>
          <w:sz w:val="20"/>
        </w:rPr>
        <w:t>LessonChangeProposal.ProposedByUserId</w:t>
      </w:r>
      <w:r>
        <w:rPr>
          <w:rFonts w:ascii="Arial" w:hAnsi="Arial"/>
          <w:sz w:val="22"/>
        </w:rPr>
        <w:t>/</w:t>
      </w:r>
      <w:r>
        <w:rPr>
          <w:rFonts w:ascii="Consolas" w:hAnsi="Consolas"/>
          <w:rFonts w:ascii="Consolas" w:hAnsi="Consolas"/>
          <w:sz w:val="20"/>
        </w:rPr>
        <w:t>ApproverUserId</w:t>
      </w:r>
      <w:r>
        <w:rPr>
          <w:rFonts w:ascii="Arial" w:hAnsi="Arial"/>
          <w:sz w:val="22"/>
        </w:rPr>
        <w:t xml:space="preserve">, </w:t>
      </w:r>
      <w:r>
        <w:rPr>
          <w:rFonts w:ascii="Consolas" w:hAnsi="Consolas"/>
          <w:rFonts w:ascii="Consolas" w:hAnsi="Consolas"/>
          <w:sz w:val="20"/>
        </w:rPr>
        <w:t>StudentLessonCompletion.CompletedByUserId</w:t>
      </w:r>
      <w:r>
        <w:rPr>
          <w:rFonts w:ascii="Arial" w:hAnsi="Arial"/>
          <w:sz w:val="22"/>
        </w:rPr>
        <w:t xml:space="preserve">, </w:t>
      </w:r>
      <w:r>
        <w:rPr>
          <w:rFonts w:ascii="Consolas" w:hAnsi="Consolas"/>
          <w:rFonts w:ascii="Consolas" w:hAnsi="Consolas"/>
          <w:sz w:val="20"/>
        </w:rPr>
        <w:t>ConsentRecord.ApprovedByUserId</w:t>
      </w:r>
      <w:r>
        <w:rPr>
          <w:rFonts w:ascii="Arial" w:hAnsi="Arial"/>
          <w:sz w:val="22"/>
        </w:rPr>
        <w:t xml:space="preserve">, </w:t>
      </w:r>
      <w:r>
        <w:rPr>
          <w:rFonts w:ascii="Consolas" w:hAnsi="Consolas"/>
          <w:rFonts w:ascii="Consolas" w:hAnsi="Consolas"/>
          <w:sz w:val="20"/>
        </w:rPr>
        <w:t>DbsCheck.TeacherUserId</w:t>
      </w:r>
      <w:r>
        <w:rPr>
          <w:rFonts w:ascii="Arial" w:hAnsi="Arial"/>
          <w:sz w:val="22"/>
        </w:rPr>
        <w:t>.</w:t>
      </w:r>
    </w:p>
    <w:p>
      <w:pPr>
        <w:keepNext/>
        <w:spacing w:before="200" w:after="80"/>
        <w:outlineLvl w:val="1"/>
      </w:pPr>
      <w:r>
        <w:rPr>
          <w:rFonts w:ascii="Arial" w:hAnsi="Arial"/>
          <w:b/>
          <w:color w:val="1F2937"/>
          <w:sz w:val="26"/>
        </w:rPr>
        <w:t>Sensitive-entity access restriction (corrected at second design review)</w:t>
      </w:r>
    </w:p>
    <w:p>
      <w:pPr>
        <w:spacing w:after="80"/>
      </w:pPr>
      <w:r>
        <w:rPr>
          <w:rFonts w:ascii="Arial" w:hAnsi="Arial"/>
          <w:sz w:val="22"/>
        </w:rPr>
        <w:t xml:space="preserve">Per </w:t>
      </w:r>
      <w:r>
        <w:rPr>
          <w:rFonts w:ascii="Consolas" w:hAnsi="Consolas"/>
          <w:rFonts w:ascii="Consolas" w:hAnsi="Consolas"/>
          <w:sz w:val="20"/>
        </w:rPr>
        <w:t>governance/security-compliance.md</w:t>
      </w:r>
      <w:r>
        <w:rPr>
          <w:rFonts w:ascii="Arial" w:hAnsi="Arial"/>
          <w:sz w:val="22"/>
        </w:rPr>
        <w:t xml:space="preserve"> (UK GDPR/DPA 2018, special-category + children's data) and </w:t>
      </w:r>
      <w:r>
        <w:rPr>
          <w:rFonts w:ascii="Consolas" w:hAnsi="Consolas"/>
          <w:rFonts w:ascii="Consolas" w:hAnsi="Consolas"/>
          <w:sz w:val="20"/>
        </w:rPr>
        <w:t>adr/0004-sensitive-data-access-control.md</w:t>
      </w:r>
      <w:r>
        <w:rPr>
          <w:rFonts w:ascii="Arial" w:hAnsi="Arial"/>
          <w:sz w:val="22"/>
        </w:rPr>
        <w:t>:</w:t>
      </w:r>
    </w:p>
    <w:p>
      <w:pPr>
        <w:spacing w:after="40"/>
        <w:ind w:left="620" w:hanging="260"/>
      </w:pPr>
      <w:r>
        <w:rPr>
          <w:rFonts w:ascii="Arial" w:hAnsi="Arial"/>
          <w:sz w:val="22"/>
        </w:rPr>
        <w:t xml:space="preserve">•  </w:t>
      </w:r>
      <w:r>
        <w:rPr>
          <w:rFonts w:ascii="Arial" w:hAnsi="Arial"/>
          <w:b/>
          <w:sz w:val="22"/>
        </w:rPr>
        <w:t>Design correction:</w:t>
      </w:r>
      <w:r>
        <w:rPr>
          <w:rFonts w:ascii="Arial" w:hAnsi="Arial"/>
          <w:sz w:val="22"/>
        </w:rPr>
        <w:t xml:space="preserve"> the first pass at this design specified column-level masking of three </w:t>
      </w:r>
      <w:r>
        <w:rPr>
          <w:rFonts w:ascii="Consolas" w:hAnsi="Consolas"/>
          <w:rFonts w:ascii="Consolas" w:hAnsi="Consolas"/>
          <w:sz w:val="20"/>
        </w:rPr>
        <w:t>ConsentRecord</w:t>
      </w:r>
      <w:r>
        <w:rPr>
          <w:rFonts w:ascii="Arial" w:hAnsi="Arial"/>
          <w:sz w:val="22"/>
        </w:rPr>
        <w:t xml:space="preserve"> fields via an EF Core global query filter. That doesn't work: a global query filter is a row-inclusion predicate — it can only include or exclude an entire row, not redact individual columns within a row a role otherwise needs (Teacher must read </w:t>
      </w:r>
      <w:r>
        <w:rPr>
          <w:rFonts w:ascii="Consolas" w:hAnsi="Consolas"/>
          <w:rFonts w:ascii="Consolas" w:hAnsi="Consolas"/>
          <w:sz w:val="20"/>
        </w:rPr>
        <w:t>ConsentRecord.Status</w:t>
      </w:r>
      <w:r>
        <w:rPr>
          <w:rFonts w:ascii="Arial" w:hAnsi="Arial"/>
          <w:sz w:val="22"/>
        </w:rPr>
        <w:t>/</w:t>
      </w:r>
      <w:r>
        <w:rPr>
          <w:rFonts w:ascii="Consolas" w:hAnsi="Consolas"/>
          <w:rFonts w:ascii="Consolas" w:hAnsi="Consolas"/>
          <w:sz w:val="20"/>
        </w:rPr>
        <w:t>ExpiryDate</w:t>
      </w:r>
      <w:r>
        <w:rPr>
          <w:rFonts w:ascii="Arial" w:hAnsi="Arial"/>
          <w:sz w:val="22"/>
        </w:rPr>
        <w:t xml:space="preserve">). Fixed by splitting the sensitive fields into their own entity, </w:t>
      </w:r>
      <w:r>
        <w:rPr>
          <w:rFonts w:ascii="Consolas" w:hAnsi="Consolas"/>
          <w:rFonts w:ascii="Consolas" w:hAnsi="Consolas"/>
          <w:sz w:val="20"/>
        </w:rPr>
        <w:t>ConsentSensitiveDetails</w:t>
      </w:r>
      <w:r>
        <w:rPr>
          <w:rFonts w:ascii="Arial" w:hAnsi="Arial"/>
          <w:sz w:val="22"/>
        </w:rPr>
        <w:t xml:space="preserve"> (see Entities table), so the same whole-entity filter pattern that correctly restricts </w:t>
      </w:r>
      <w:r>
        <w:rPr>
          <w:rFonts w:ascii="Consolas" w:hAnsi="Consolas"/>
          <w:rFonts w:ascii="Consolas" w:hAnsi="Consolas"/>
          <w:sz w:val="20"/>
        </w:rPr>
        <w:t>DbsCheck</w:t>
      </w:r>
      <w:r>
        <w:rPr>
          <w:rFonts w:ascii="Arial" w:hAnsi="Arial"/>
          <w:sz w:val="22"/>
        </w:rPr>
        <w:t xml:space="preserve"> now also correctly restricts the sensitive consent fields.</w:t>
      </w:r>
    </w:p>
    <w:p>
      <w:pPr>
        <w:spacing w:after="40"/>
        <w:ind w:left="620" w:hanging="260"/>
      </w:pPr>
      <w:r>
        <w:rPr>
          <w:rFonts w:ascii="Arial" w:hAnsi="Arial"/>
          <w:sz w:val="22"/>
        </w:rPr>
        <w:t xml:space="preserve">•  </w:t>
      </w:r>
      <w:r>
        <w:rPr>
          <w:rFonts w:ascii="Consolas" w:hAnsi="Consolas"/>
          <w:rFonts w:ascii="Consolas" w:hAnsi="Consolas"/>
          <w:sz w:val="20"/>
        </w:rPr>
        <w:t>DbsCheck</w:t>
      </w:r>
      <w:r>
        <w:rPr>
          <w:rFonts w:ascii="Arial" w:hAnsi="Arial"/>
          <w:sz w:val="22"/>
        </w:rPr>
        <w:t xml:space="preserve"> (whole entity): visible only to Admin and Safeguarding Officer. Teacher and Approver have no access.</w:t>
      </w:r>
    </w:p>
    <w:p>
      <w:pPr>
        <w:spacing w:after="40"/>
        <w:ind w:left="620" w:hanging="260"/>
      </w:pPr>
      <w:r>
        <w:rPr>
          <w:rFonts w:ascii="Arial" w:hAnsi="Arial"/>
          <w:sz w:val="22"/>
        </w:rPr>
        <w:t xml:space="preserve">•  </w:t>
      </w:r>
      <w:r>
        <w:rPr>
          <w:rFonts w:ascii="Consolas" w:hAnsi="Consolas"/>
          <w:rFonts w:ascii="Consolas" w:hAnsi="Consolas"/>
          <w:sz w:val="20"/>
        </w:rPr>
        <w:t>ConsentSensitiveDetails</w:t>
      </w:r>
      <w:r>
        <w:rPr>
          <w:rFonts w:ascii="Arial" w:hAnsi="Arial"/>
          <w:sz w:val="22"/>
        </w:rPr>
        <w:t xml:space="preserve"> (whole entity, containing what were the </w:t>
      </w:r>
      <w:r>
        <w:rPr>
          <w:rFonts w:ascii="Consolas" w:hAnsi="Consolas"/>
          <w:rFonts w:ascii="Consolas" w:hAnsi="Consolas"/>
          <w:sz w:val="20"/>
        </w:rPr>
        <w:t>EmergencyMedicalInfo</w:t>
      </w:r>
      <w:r>
        <w:rPr>
          <w:rFonts w:ascii="Arial" w:hAnsi="Arial"/>
          <w:sz w:val="22"/>
        </w:rPr>
        <w:t>/</w:t>
      </w:r>
      <w:r>
        <w:rPr>
          <w:rFonts w:ascii="Consolas" w:hAnsi="Consolas"/>
          <w:rFonts w:ascii="Consolas" w:hAnsi="Consolas"/>
          <w:sz w:val="20"/>
        </w:rPr>
        <w:t>DietarySEN</w:t>
      </w:r>
      <w:r>
        <w:rPr>
          <w:rFonts w:ascii="Arial" w:hAnsi="Arial"/>
          <w:sz w:val="22"/>
        </w:rPr>
        <w:t>/</w:t>
      </w:r>
      <w:r>
        <w:rPr>
          <w:rFonts w:ascii="Consolas" w:hAnsi="Consolas"/>
          <w:rFonts w:ascii="Consolas" w:hAnsi="Consolas"/>
          <w:sz w:val="20"/>
        </w:rPr>
        <w:t>EmergencyContact</w:t>
      </w:r>
      <w:r>
        <w:rPr>
          <w:rFonts w:ascii="Arial" w:hAnsi="Arial"/>
          <w:sz w:val="22"/>
        </w:rPr>
        <w:t xml:space="preserve"> fields): visible only to Admin and Safeguarding Officer. Teacher and Approver can still read the (now separate) </w:t>
      </w:r>
      <w:r>
        <w:rPr>
          <w:rFonts w:ascii="Consolas" w:hAnsi="Consolas"/>
          <w:rFonts w:ascii="Consolas" w:hAnsi="Consolas"/>
          <w:sz w:val="20"/>
        </w:rPr>
        <w:t>ConsentRecord</w:t>
      </w:r>
      <w:r>
        <w:rPr>
          <w:rFonts w:ascii="Arial" w:hAnsi="Arial"/>
          <w:sz w:val="22"/>
        </w:rPr>
        <w:t xml:space="preserve"> row for </w:t>
      </w:r>
      <w:r>
        <w:rPr>
          <w:rFonts w:ascii="Consolas" w:hAnsi="Consolas"/>
          <w:rFonts w:ascii="Consolas" w:hAnsi="Consolas"/>
          <w:sz w:val="20"/>
        </w:rPr>
        <w:t>Status</w:t>
      </w:r>
      <w:r>
        <w:rPr>
          <w:rFonts w:ascii="Arial" w:hAnsi="Arial"/>
          <w:sz w:val="22"/>
        </w:rPr>
        <w:t>/</w:t>
      </w:r>
      <w:r>
        <w:rPr>
          <w:rFonts w:ascii="Consolas" w:hAnsi="Consolas"/>
          <w:rFonts w:ascii="Consolas" w:hAnsi="Consolas"/>
          <w:sz w:val="20"/>
        </w:rPr>
        <w:t>ExpiryDate</w:t>
      </w:r>
      <w:r>
        <w:rPr>
          <w:rFonts w:ascii="Arial" w:hAnsi="Arial"/>
          <w:sz w:val="22"/>
        </w:rPr>
        <w:t>.</w:t>
      </w:r>
    </w:p>
    <w:p>
      <w:pPr>
        <w:spacing w:after="40"/>
        <w:ind w:left="620" w:hanging="260"/>
      </w:pPr>
      <w:r>
        <w:rPr>
          <w:rFonts w:ascii="Arial" w:hAnsi="Arial"/>
          <w:sz w:val="22"/>
        </w:rPr>
        <w:t xml:space="preserve">•  </w:t>
      </w:r>
      <w:r>
        <w:rPr>
          <w:rFonts w:ascii="Arial" w:hAnsi="Arial"/>
          <w:sz w:val="22"/>
        </w:rPr>
        <w:t>The Approver role's remit is curriculum/lesson-change approval only (</w:t>
      </w:r>
      <w:r>
        <w:rPr>
          <w:rFonts w:ascii="Consolas" w:hAnsi="Consolas"/>
          <w:rFonts w:ascii="Consolas" w:hAnsi="Consolas"/>
          <w:sz w:val="20"/>
        </w:rPr>
        <w:t>LessonChangeProposal.ApproverUserId</w:t>
      </w:r>
      <w:r>
        <w:rPr>
          <w:rFonts w:ascii="Arial" w:hAnsi="Arial"/>
          <w:sz w:val="22"/>
        </w:rPr>
        <w:t>) — it has no involvement in consent or DBS approval, and no elevated PII access beyond a regular Teacher.</w:t>
      </w:r>
    </w:p>
    <w:p>
      <w:pPr>
        <w:spacing w:after="40"/>
        <w:ind w:left="620" w:hanging="260"/>
      </w:pPr>
      <w:r>
        <w:rPr>
          <w:rFonts w:ascii="Arial" w:hAnsi="Arial"/>
          <w:sz w:val="22"/>
        </w:rPr>
        <w:t xml:space="preserve">•  </w:t>
      </w:r>
      <w:r>
        <w:rPr>
          <w:rFonts w:ascii="Arial" w:hAnsi="Arial"/>
          <w:b/>
          <w:sz w:val="22"/>
        </w:rPr>
        <w:t>Enforcement mechanism:</w:t>
      </w:r>
      <w:r>
        <w:rPr>
          <w:rFonts w:ascii="Arial" w:hAnsi="Arial"/>
          <w:sz w:val="22"/>
        </w:rPr>
        <w:t xml:space="preserve"> EF Core global query filters on </w:t>
      </w:r>
      <w:r>
        <w:rPr>
          <w:rFonts w:ascii="Consolas" w:hAnsi="Consolas"/>
          <w:rFonts w:ascii="Consolas" w:hAnsi="Consolas"/>
          <w:sz w:val="20"/>
        </w:rPr>
        <w:t>DbsCheck</w:t>
      </w:r>
      <w:r>
        <w:rPr>
          <w:rFonts w:ascii="Arial" w:hAnsi="Arial"/>
          <w:sz w:val="22"/>
        </w:rPr>
        <w:t xml:space="preserve"> and </w:t>
      </w:r>
      <w:r>
        <w:rPr>
          <w:rFonts w:ascii="Consolas" w:hAnsi="Consolas"/>
          <w:rFonts w:ascii="Consolas" w:hAnsi="Consolas"/>
          <w:sz w:val="20"/>
        </w:rPr>
        <w:t>ConsentSensitiveDetails</w:t>
      </w:r>
      <w:r>
        <w:rPr>
          <w:rFonts w:ascii="Arial" w:hAnsi="Arial"/>
          <w:sz w:val="22"/>
        </w:rPr>
        <w:t xml:space="preserve">, configured on the </w:t>
      </w:r>
      <w:r>
        <w:rPr>
          <w:rFonts w:ascii="Consolas" w:hAnsi="Consolas"/>
          <w:rFonts w:ascii="Consolas" w:hAnsi="Consolas"/>
          <w:sz w:val="20"/>
        </w:rPr>
        <w:t>DbContext</w:t>
      </w:r>
      <w:r>
        <w:rPr>
          <w:rFonts w:ascii="Arial" w:hAnsi="Arial"/>
          <w:sz w:val="22"/>
        </w:rPr>
        <w:t>, keyed by the current caller's role. A developer cannot accidentally leak either entity by writing a new query or report without explicitly bypassing the filter (</w:t>
      </w:r>
      <w:r>
        <w:rPr>
          <w:rFonts w:ascii="Consolas" w:hAnsi="Consolas"/>
          <w:rFonts w:ascii="Consolas" w:hAnsi="Consolas"/>
          <w:sz w:val="20"/>
        </w:rPr>
        <w:t>IgnoreQueryFilters()</w:t>
      </w:r>
      <w:r>
        <w:rPr>
          <w:rFonts w:ascii="Arial" w:hAnsi="Arial"/>
          <w:sz w:val="22"/>
        </w:rPr>
        <w:t>), which is a deliberate, greppable, reviewable act. See EF Core global query filters (https://learn.microsoft.com/ef/core/querying/filters).</w:t>
      </w:r>
    </w:p>
    <w:p>
      <w:pPr>
        <w:keepNext/>
        <w:spacing w:before="200" w:after="80"/>
        <w:outlineLvl w:val="1"/>
      </w:pPr>
      <w:r>
        <w:rPr>
          <w:rFonts w:ascii="Arial" w:hAnsi="Arial"/>
          <w:b/>
          <w:color w:val="1F2937"/>
          <w:sz w:val="26"/>
        </w:rPr>
        <w:t>Audit logging of sensitive-data reads</w:t>
      </w:r>
    </w:p>
    <w:p>
      <w:pPr>
        <w:spacing w:after="40"/>
        <w:ind w:left="620" w:hanging="260"/>
      </w:pPr>
      <w:r>
        <w:rPr>
          <w:rFonts w:ascii="Arial" w:hAnsi="Arial"/>
          <w:sz w:val="22"/>
        </w:rPr>
        <w:t xml:space="preserve">•  </w:t>
      </w:r>
      <w:r>
        <w:rPr>
          <w:rFonts w:ascii="Arial" w:hAnsi="Arial"/>
          <w:sz w:val="22"/>
        </w:rPr>
        <w:t xml:space="preserve">Every read of a </w:t>
      </w:r>
      <w:r>
        <w:rPr>
          <w:rFonts w:ascii="Consolas" w:hAnsi="Consolas"/>
          <w:rFonts w:ascii="Consolas" w:hAnsi="Consolas"/>
          <w:sz w:val="20"/>
        </w:rPr>
        <w:t>DbsCheck</w:t>
      </w:r>
      <w:r>
        <w:rPr>
          <w:rFonts w:ascii="Arial" w:hAnsi="Arial"/>
          <w:sz w:val="22"/>
        </w:rPr>
        <w:t xml:space="preserve"> or </w:t>
      </w:r>
      <w:r>
        <w:rPr>
          <w:rFonts w:ascii="Consolas" w:hAnsi="Consolas"/>
          <w:rFonts w:ascii="Consolas" w:hAnsi="Consolas"/>
          <w:sz w:val="20"/>
        </w:rPr>
        <w:t>ConsentSensitiveDetails</w:t>
      </w:r>
      <w:r>
        <w:rPr>
          <w:rFonts w:ascii="Arial" w:hAnsi="Arial"/>
          <w:sz w:val="22"/>
        </w:rPr>
        <w:t xml:space="preserve"> row writes a </w:t>
      </w:r>
      <w:r>
        <w:rPr>
          <w:rFonts w:ascii="Consolas" w:hAnsi="Consolas"/>
          <w:rFonts w:ascii="Consolas" w:hAnsi="Consolas"/>
          <w:sz w:val="20"/>
        </w:rPr>
        <w:t>SensitiveDataAccessLog</w:t>
      </w:r>
      <w:r>
        <w:rPr>
          <w:rFonts w:ascii="Arial" w:hAnsi="Arial"/>
          <w:sz w:val="22"/>
        </w:rPr>
        <w:t xml:space="preserve"> row (who, what, when). This is a genuine control gap identified at design review — the prior model only logged who created/approved a record, not who subsequently viewed it. Given the entire justification for managing this data in-system is safeguarding, an access log is not optional.</w:t>
      </w:r>
    </w:p>
    <w:p>
      <w:pPr>
        <w:spacing w:after="40"/>
        <w:ind w:left="620" w:hanging="260"/>
      </w:pPr>
      <w:r>
        <w:rPr>
          <w:rFonts w:ascii="Arial" w:hAnsi="Arial"/>
          <w:sz w:val="22"/>
        </w:rPr>
        <w:t xml:space="preserve">•  </w:t>
      </w:r>
      <w:r>
        <w:rPr>
          <w:rFonts w:ascii="Arial" w:hAnsi="Arial"/>
          <w:b/>
          <w:sz w:val="22"/>
        </w:rPr>
        <w:t>Write mechanism (corrected at third design review):</w:t>
      </w:r>
      <w:r>
        <w:rPr>
          <w:rFonts w:ascii="Arial" w:hAnsi="Arial"/>
          <w:sz w:val="22"/>
        </w:rPr>
        <w:t xml:space="preserve"> an </w:t>
      </w:r>
      <w:r>
        <w:rPr>
          <w:rFonts w:ascii="Consolas" w:hAnsi="Consolas"/>
          <w:rFonts w:ascii="Consolas" w:hAnsi="Consolas"/>
          <w:sz w:val="20"/>
        </w:rPr>
        <w:t>IMaterializationInterceptor</w:t>
      </w:r>
      <w:r>
        <w:rPr>
          <w:rFonts w:ascii="Arial" w:hAnsi="Arial"/>
          <w:sz w:val="22"/>
        </w:rPr>
        <w:t xml:space="preserve"> registered on the </w:t>
      </w:r>
      <w:r>
        <w:rPr>
          <w:rFonts w:ascii="Consolas" w:hAnsi="Consolas"/>
          <w:rFonts w:ascii="Consolas" w:hAnsi="Consolas"/>
          <w:sz w:val="20"/>
        </w:rPr>
        <w:t>DbContext</w:t>
      </w:r>
      <w:r>
        <w:rPr>
          <w:rFonts w:ascii="Arial" w:hAnsi="Arial"/>
          <w:sz w:val="22"/>
        </w:rPr>
        <w:t xml:space="preserve"> (see </w:t>
      </w:r>
      <w:r>
        <w:rPr>
          <w:rFonts w:ascii="Consolas" w:hAnsi="Consolas"/>
          <w:rFonts w:ascii="Consolas" w:hAnsi="Consolas"/>
          <w:sz w:val="20"/>
        </w:rPr>
        <w:t>adr/0004-sensitive-data-access-control.md</w:t>
      </w:r>
      <w:r>
        <w:rPr>
          <w:rFonts w:ascii="Arial" w:hAnsi="Arial"/>
          <w:sz w:val="22"/>
        </w:rPr>
        <w:t xml:space="preserve">) — its </w:t>
      </w:r>
      <w:r>
        <w:rPr>
          <w:rFonts w:ascii="Consolas" w:hAnsi="Consolas"/>
          <w:rFonts w:ascii="Consolas" w:hAnsi="Consolas"/>
          <w:sz w:val="20"/>
        </w:rPr>
        <w:t>InitializedInstance</w:t>
      </w:r>
      <w:r>
        <w:rPr>
          <w:rFonts w:ascii="Arial" w:hAnsi="Arial"/>
          <w:sz w:val="22"/>
        </w:rPr>
        <w:t xml:space="preserve"> hook fires once per entity EF materializes from a query, giving direct typed access (</w:t>
      </w:r>
      <w:r>
        <w:rPr>
          <w:rFonts w:ascii="Consolas" w:hAnsi="Consolas"/>
          <w:rFonts w:ascii="Consolas" w:hAnsi="Consolas"/>
          <w:sz w:val="20"/>
        </w:rPr>
        <w:t>entity is DbsCheck dbs → log dbs.Id</w:t>
      </w:r>
      <w:r>
        <w:rPr>
          <w:rFonts w:ascii="Arial" w:hAnsi="Arial"/>
          <w:sz w:val="22"/>
        </w:rPr>
        <w:t xml:space="preserve">) without SQL text-matching or manual reader handling, and correctly per row even across EF's compiled-query cache. This is structural — it applies to every query against these tables regardless of call site — rather than a per-repository convention a future developer could forget. (A prior version of this ADR named </w:t>
      </w:r>
      <w:r>
        <w:rPr>
          <w:rFonts w:ascii="Consolas" w:hAnsi="Consolas"/>
          <w:rFonts w:ascii="Consolas" w:hAnsi="Consolas"/>
          <w:sz w:val="20"/>
        </w:rPr>
        <w:t>DbCommandInterceptor</w:t>
      </w:r>
      <w:r>
        <w:rPr>
          <w:rFonts w:ascii="Arial" w:hAnsi="Arial"/>
          <w:sz w:val="22"/>
        </w:rPr>
        <w:t xml:space="preserve"> instead; that mechanism operates on raw SQL and can't reliably extract a typed </w:t>
      </w:r>
      <w:r>
        <w:rPr>
          <w:rFonts w:ascii="Consolas" w:hAnsi="Consolas"/>
          <w:rFonts w:ascii="Consolas" w:hAnsi="Consolas"/>
          <w:sz w:val="20"/>
        </w:rPr>
        <w:t>EntityId</w:t>
      </w:r>
      <w:r>
        <w:rPr>
          <w:rFonts w:ascii="Arial" w:hAnsi="Arial"/>
          <w:sz w:val="22"/>
        </w:rPr>
        <w:t>, so it was corrected.)</w:t>
      </w:r>
    </w:p>
    <w:p>
      <w:pPr>
        <w:spacing w:after="40"/>
        <w:ind w:left="620" w:hanging="260"/>
      </w:pPr>
      <w:r>
        <w:rPr>
          <w:rFonts w:ascii="Arial" w:hAnsi="Arial"/>
          <w:sz w:val="22"/>
        </w:rPr>
        <w:t xml:space="preserve">•  </w:t>
      </w:r>
      <w:r>
        <w:rPr>
          <w:rFonts w:ascii="Arial" w:hAnsi="Arial"/>
          <w:b/>
          <w:sz w:val="22"/>
        </w:rPr>
        <w:t>Tamper protection (added at second design review; mechanism re-implemented for PostgreSQL by `adr/0005-hosting-pivot-self-hosted-vps-postgresql.md`):</w:t>
      </w:r>
      <w:r>
        <w:rPr>
          <w:rFonts w:ascii="Arial" w:hAnsi="Arial"/>
          <w:sz w:val="22"/>
        </w:rPr>
        <w:t xml:space="preserve"> </w:t>
      </w:r>
      <w:r>
        <w:rPr>
          <w:rFonts w:ascii="Consolas" w:hAnsi="Consolas"/>
          <w:rFonts w:ascii="Consolas" w:hAnsi="Consolas"/>
          <w:sz w:val="20"/>
        </w:rPr>
        <w:t>SensitiveDataAccessLog</w:t>
      </w:r>
      <w:r>
        <w:rPr>
          <w:rFonts w:ascii="Arial" w:hAnsi="Arial"/>
          <w:sz w:val="22"/>
        </w:rPr>
        <w:t xml:space="preserve"> has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denied at the database permission level for this table specifically, not just an "append-only" convention in application code — originally SQL Server </w:t>
      </w:r>
      <w:r>
        <w:rPr>
          <w:rFonts w:ascii="Consolas" w:hAnsi="Consolas"/>
          <w:rFonts w:ascii="Consolas" w:hAnsi="Consolas"/>
          <w:sz w:val="20"/>
        </w:rPr>
        <w:t>DENY</w:t>
      </w:r>
      <w:r>
        <w:rPr>
          <w:rFonts w:ascii="Arial" w:hAnsi="Arial"/>
          <w:sz w:val="22"/>
        </w:rPr>
        <w:t xml:space="preserve"> on the application's database principal; now PostgreSQL </w:t>
      </w:r>
      <w:r>
        <w:rPr>
          <w:rFonts w:ascii="Consolas" w:hAnsi="Consolas"/>
          <w:rFonts w:ascii="Consolas" w:hAnsi="Consolas"/>
          <w:sz w:val="20"/>
        </w:rPr>
        <w:t>REVOKE UPDATE, DELETE ... FROM PUBLIC</w:t>
      </w:r>
      <w:r>
        <w:rPr>
          <w:rFonts w:ascii="Arial" w:hAnsi="Arial"/>
          <w:sz w:val="22"/>
        </w:rPr>
        <w:t xml:space="preserve"> plus Row-Level Security (</w:t>
      </w:r>
      <w:r>
        <w:rPr>
          <w:rFonts w:ascii="Consolas" w:hAnsi="Consolas"/>
          <w:rFonts w:ascii="Consolas" w:hAnsi="Consolas"/>
          <w:sz w:val="20"/>
        </w:rPr>
        <w:t>ENABLE</w:t>
      </w:r>
      <w:r>
        <w:rPr>
          <w:rFonts w:ascii="Arial" w:hAnsi="Arial"/>
          <w:sz w:val="22"/>
        </w:rPr>
        <w:t>/</w:t>
      </w:r>
      <w:r>
        <w:rPr>
          <w:rFonts w:ascii="Consolas" w:hAnsi="Consolas"/>
          <w:rFonts w:ascii="Consolas" w:hAnsi="Consolas"/>
          <w:sz w:val="20"/>
        </w:rPr>
        <w:t>FORCE ROW LEVEL SECURITY</w:t>
      </w:r>
      <w:r>
        <w:rPr>
          <w:rFonts w:ascii="Arial" w:hAnsi="Arial"/>
          <w:sz w:val="22"/>
        </w:rPr>
        <w:t xml:space="preserve"> with no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policy, closing the gap that </w:t>
      </w:r>
      <w:r>
        <w:rPr>
          <w:rFonts w:ascii="Consolas" w:hAnsi="Consolas"/>
          <w:rFonts w:ascii="Consolas" w:hAnsi="Consolas"/>
          <w:sz w:val="20"/>
        </w:rPr>
        <w:t>REVOKE</w:t>
      </w:r>
      <w:r>
        <w:rPr>
          <w:rFonts w:ascii="Arial" w:hAnsi="Arial"/>
          <w:sz w:val="22"/>
        </w:rPr>
        <w:t xml:space="preserve"> alone doesn't bind the table owner the way SQL Server's </w:t>
      </w:r>
      <w:r>
        <w:rPr>
          <w:rFonts w:ascii="Consolas" w:hAnsi="Consolas"/>
          <w:rFonts w:ascii="Consolas" w:hAnsi="Consolas"/>
          <w:sz w:val="20"/>
        </w:rPr>
        <w:t>DENY</w:t>
      </w:r>
      <w:r>
        <w:rPr>
          <w:rFonts w:ascii="Arial" w:hAnsi="Arial"/>
          <w:sz w:val="22"/>
        </w:rPr>
        <w:t xml:space="preserve"> does) — see </w:t>
      </w:r>
      <w:r>
        <w:rPr>
          <w:rFonts w:ascii="Consolas" w:hAnsi="Consolas"/>
          <w:rFonts w:ascii="Consolas" w:hAnsi="Consolas"/>
          <w:sz w:val="20"/>
        </w:rPr>
        <w:t>adr/0004-sensitive-data-access-control.md</w:t>
      </w:r>
      <w:r>
        <w:rPr>
          <w:rFonts w:ascii="Arial" w:hAnsi="Arial"/>
          <w:sz w:val="22"/>
        </w:rPr>
        <w:t xml:space="preserve"> §4/§6.</w:t>
      </w:r>
    </w:p>
    <w:p>
      <w:pPr>
        <w:spacing w:after="40"/>
        <w:ind w:left="620" w:hanging="260"/>
      </w:pPr>
      <w:r>
        <w:rPr>
          <w:rFonts w:ascii="Arial" w:hAnsi="Arial"/>
          <w:sz w:val="22"/>
        </w:rPr>
        <w:t xml:space="preserve">•  </w:t>
      </w:r>
      <w:r>
        <w:rPr>
          <w:rFonts w:ascii="Arial" w:hAnsi="Arial"/>
          <w:b/>
          <w:sz w:val="22"/>
        </w:rPr>
        <w:t>Retention (added at second design review):</w:t>
      </w:r>
      <w:r>
        <w:rPr>
          <w:rFonts w:ascii="Arial" w:hAnsi="Arial"/>
          <w:sz w:val="22"/>
        </w:rPr>
        <w:t xml:space="preserve"> audit log entries are retained </w:t>
      </w:r>
      <w:r>
        <w:rPr>
          <w:rFonts w:ascii="Arial" w:hAnsi="Arial"/>
          <w:b/>
          <w:sz w:val="22"/>
        </w:rPr>
        <w:t>6 years</w:t>
      </w:r>
      <w:r>
        <w:rPr>
          <w:rFonts w:ascii="Arial" w:hAnsi="Arial"/>
          <w:sz w:val="22"/>
        </w:rPr>
        <w:t xml:space="preserve"> regardless of the referenced record's own retention period (matching the longer DBS retention bar, since the log's purpose is accountability, not the underlying record's lifecycle) — a deliberate choice for the owner to override if a different period is preferred.</w:t>
      </w:r>
    </w:p>
    <w:p>
      <w:pPr>
        <w:keepNext/>
        <w:spacing w:before="200" w:after="80"/>
        <w:outlineLvl w:val="1"/>
      </w:pPr>
      <w:r>
        <w:rPr>
          <w:rFonts w:ascii="Arial" w:hAnsi="Arial"/>
          <w:b/>
          <w:color w:val="1F2937"/>
          <w:sz w:val="26"/>
        </w:rPr>
        <w:t>Guardian link verification</w:t>
      </w:r>
    </w:p>
    <w:p>
      <w:pPr>
        <w:spacing w:after="40"/>
        <w:ind w:left="620" w:hanging="260"/>
      </w:pPr>
      <w:r>
        <w:rPr>
          <w:rFonts w:ascii="Arial" w:hAnsi="Arial"/>
          <w:sz w:val="22"/>
        </w:rPr>
        <w:t xml:space="preserve">•  </w:t>
      </w:r>
      <w:r>
        <w:rPr>
          <w:rFonts w:ascii="Arial" w:hAnsi="Arial"/>
          <w:sz w:val="22"/>
        </w:rPr>
        <w:t xml:space="preserve">A </w:t>
      </w:r>
      <w:r>
        <w:rPr>
          <w:rFonts w:ascii="Consolas" w:hAnsi="Consolas"/>
          <w:rFonts w:ascii="Consolas" w:hAnsi="Consolas"/>
          <w:sz w:val="20"/>
        </w:rPr>
        <w:t>StudentGuardianLink</w:t>
      </w:r>
      <w:r>
        <w:rPr>
          <w:rFonts w:ascii="Arial" w:hAnsi="Arial"/>
          <w:sz w:val="22"/>
        </w:rPr>
        <w:t xml:space="preserve"> is created </w:t>
      </w:r>
      <w:r>
        <w:rPr>
          <w:rFonts w:ascii="Arial" w:hAnsi="Arial"/>
          <w:b/>
          <w:sz w:val="22"/>
        </w:rPr>
        <w:t>only by Admin (or a Teacher acting under Admin's authority) at student registration</w:t>
      </w:r>
      <w:r>
        <w:rPr>
          <w:rFonts w:ascii="Arial" w:hAnsi="Arial"/>
          <w:sz w:val="22"/>
        </w:rPr>
        <w:t xml:space="preserve"> — never by parent self-service. The Admin/Teacher enters the guardian's details; if the guardian doesn't already hold an account, this issues a self-rolled signed, single-use, expiring invite link (</w:t>
      </w:r>
      <w:r>
        <w:rPr>
          <w:rFonts w:ascii="Consolas" w:hAnsi="Consolas"/>
          <w:rFonts w:ascii="Consolas" w:hAnsi="Consolas"/>
          <w:sz w:val="20"/>
        </w:rPr>
        <w:t>GuardianInvite</w:t>
      </w:r>
      <w:r>
        <w:rPr>
          <w:rFonts w:ascii="Arial" w:hAnsi="Arial"/>
          <w:sz w:val="22"/>
        </w:rPr>
        <w:t xml:space="preserve">, </w:t>
      </w:r>
      <w:r>
        <w:rPr>
          <w:rFonts w:ascii="Consolas" w:hAnsi="Consolas"/>
          <w:rFonts w:ascii="Consolas" w:hAnsi="Consolas"/>
          <w:sz w:val="20"/>
        </w:rPr>
        <w:t>adr/0005-hosting-pivot-self-hosted-vps-postgresql.md</w:t>
      </w:r>
      <w:r>
        <w:rPr>
          <w:rFonts w:ascii="Arial" w:hAnsi="Arial"/>
          <w:sz w:val="22"/>
        </w:rPr>
        <w:t xml:space="preserve">) scoped to the correct </w:t>
      </w:r>
      <w:r>
        <w:rPr>
          <w:rFonts w:ascii="Consolas" w:hAnsi="Consolas"/>
          <w:rFonts w:ascii="Consolas" w:hAnsi="Consolas"/>
          <w:sz w:val="20"/>
        </w:rPr>
        <w:t>Student</w:t>
      </w:r>
      <w:r>
        <w:rPr>
          <w:rFonts w:ascii="Arial" w:hAnsi="Arial"/>
          <w:sz w:val="22"/>
        </w:rPr>
        <w:t xml:space="preserve"> record, emailed via SMTP — replacing what was originally planned as a Microsoft Entra External ID invitation. See </w:t>
      </w:r>
      <w:r>
        <w:rPr>
          <w:rFonts w:ascii="Consolas" w:hAnsi="Consolas"/>
          <w:rFonts w:ascii="Consolas" w:hAnsi="Consolas"/>
          <w:sz w:val="20"/>
        </w:rPr>
        <w:t>openwiki/guardian-links.md</w:t>
      </w:r>
      <w:r>
        <w:rPr>
          <w:rFonts w:ascii="Arial" w:hAnsi="Arial"/>
          <w:sz w:val="22"/>
        </w:rPr>
        <w:t xml:space="preserve"> for the as-built mechanism.</w:t>
      </w:r>
    </w:p>
    <w:p>
      <w:pPr>
        <w:spacing w:after="40"/>
        <w:ind w:left="620" w:hanging="260"/>
      </w:pPr>
      <w:r>
        <w:rPr>
          <w:rFonts w:ascii="Arial" w:hAnsi="Arial"/>
          <w:sz w:val="22"/>
        </w:rPr>
        <w:t xml:space="preserve">•  </w:t>
      </w:r>
      <w:r>
        <w:rPr>
          <w:rFonts w:ascii="Arial" w:hAnsi="Arial"/>
          <w:b/>
          <w:sz w:val="22"/>
        </w:rPr>
        <w:t>Evidentiary basis (added at second design review):</w:t>
      </w:r>
      <w:r>
        <w:rPr>
          <w:rFonts w:ascii="Arial" w:hAnsi="Arial"/>
          <w:sz w:val="22"/>
        </w:rPr>
        <w:t xml:space="preserve"> the Admin/Teacher creating the link should do so through the same channel already used to enrol the student (i.e. the guardian is who the family named at enrolment, or someone already known to the programme) — not a separate, formal identity-verification process. This is deliberately lightweight, proportionate to a small, personally-known membership, not a large anonymous user base.</w:t>
      </w:r>
    </w:p>
    <w:p>
      <w:pPr>
        <w:spacing w:after="40"/>
        <w:ind w:left="620" w:hanging="260"/>
      </w:pPr>
      <w:r>
        <w:rPr>
          <w:rFonts w:ascii="Arial" w:hAnsi="Arial"/>
          <w:sz w:val="22"/>
        </w:rPr>
        <w:t xml:space="preserve">•  </w:t>
      </w:r>
      <w:r>
        <w:rPr>
          <w:rFonts w:ascii="Arial" w:hAnsi="Arial"/>
          <w:sz w:val="22"/>
        </w:rPr>
        <w:t xml:space="preserve">This closes a design-review gap: open self-service sign-up (this system still has a general </w:t>
      </w:r>
      <w:r>
        <w:rPr>
          <w:rFonts w:ascii="Consolas" w:hAnsi="Consolas"/>
          <w:rFonts w:ascii="Consolas" w:hAnsi="Consolas"/>
          <w:sz w:val="20"/>
        </w:rPr>
        <w:t>/Account/Register</w:t>
      </w:r>
      <w:r>
        <w:rPr>
          <w:rFonts w:ascii="Arial" w:hAnsi="Arial"/>
          <w:sz w:val="22"/>
        </w:rPr>
        <w:t xml:space="preserve"> page, for authentication only) would otherwise let a parent register and claim a relationship to a child with no verification that the claim is genuine, before ever touching medical/consent data — which is exactly why </w:t>
      </w:r>
      <w:r>
        <w:rPr>
          <w:rFonts w:ascii="Consolas" w:hAnsi="Consolas"/>
          <w:rFonts w:ascii="Consolas" w:hAnsi="Consolas"/>
          <w:sz w:val="20"/>
        </w:rPr>
        <w:t>StudentGuardianLink</w:t>
      </w:r>
      <w:r>
        <w:rPr>
          <w:rFonts w:ascii="Arial" w:hAnsi="Arial"/>
          <w:sz w:val="22"/>
        </w:rPr>
        <w:t xml:space="preserve"> creation itself is never self-service, regardless of how a guardian's account was created.</w:t>
      </w:r>
    </w:p>
    <w:p>
      <w:pPr>
        <w:keepNext/>
        <w:spacing w:before="200" w:after="80"/>
        <w:outlineLvl w:val="1"/>
      </w:pPr>
      <w:r>
        <w:rPr>
          <w:rFonts w:ascii="Arial" w:hAnsi="Arial"/>
          <w:b/>
          <w:color w:val="1F2937"/>
          <w:sz w:val="26"/>
        </w:rPr>
        <w:t>Data ownership &amp; lifecycle</w:t>
      </w:r>
    </w:p>
    <w:p>
      <w:pPr>
        <w:spacing w:after="40"/>
        <w:ind w:left="620" w:hanging="260"/>
      </w:pPr>
      <w:r>
        <w:rPr>
          <w:rFonts w:ascii="Arial" w:hAnsi="Arial"/>
          <w:sz w:val="22"/>
        </w:rPr>
        <w:t xml:space="preserve">•  </w:t>
      </w:r>
      <w:r>
        <w:rPr>
          <w:rFonts w:ascii="Arial" w:hAnsi="Arial"/>
          <w:sz w:val="22"/>
        </w:rPr>
        <w:t xml:space="preserve">System of record: this database is authoritative for all entities above (no external source of truth, per </w:t>
      </w:r>
      <w:r>
        <w:rPr>
          <w:rFonts w:ascii="Consolas" w:hAnsi="Consolas"/>
          <w:rFonts w:ascii="Consolas" w:hAnsi="Consolas"/>
          <w:sz w:val="20"/>
        </w:rPr>
        <w:t>design/integration.md</w:t>
      </w:r>
      <w:r>
        <w:rPr>
          <w:rFonts w:ascii="Arial" w:hAnsi="Arial"/>
          <w:sz w:val="22"/>
        </w:rPr>
        <w:t>).</w:t>
      </w:r>
    </w:p>
    <w:p>
      <w:pPr>
        <w:spacing w:after="40"/>
        <w:ind w:left="620" w:hanging="260"/>
      </w:pPr>
      <w:r>
        <w:rPr>
          <w:rFonts w:ascii="Arial" w:hAnsi="Arial"/>
          <w:sz w:val="22"/>
        </w:rPr>
        <w:t xml:space="preserve">•  </w:t>
      </w:r>
      <w:r>
        <w:rPr>
          <w:rFonts w:ascii="Arial" w:hAnsi="Arial"/>
          <w:sz w:val="22"/>
        </w:rPr>
        <w:t xml:space="preserve">Retention/deletion policy (UK GDPR requirement): student records (including consent, medical/dietary/SEN data) retained </w:t>
      </w:r>
      <w:r>
        <w:rPr>
          <w:rFonts w:ascii="Arial" w:hAnsi="Arial"/>
          <w:b/>
          <w:sz w:val="22"/>
        </w:rPr>
        <w:t>3 years from the student leaving/graduating</w:t>
      </w:r>
      <w:r>
        <w:rPr>
          <w:rFonts w:ascii="Arial" w:hAnsi="Arial"/>
          <w:sz w:val="22"/>
        </w:rPr>
        <w:t xml:space="preserve"> the programme. DBS (Disclosure and Barring Service, gov.uk) checks are held against Teachers, not students, and are retained </w:t>
      </w:r>
      <w:r>
        <w:rPr>
          <w:rFonts w:ascii="Arial" w:hAnsi="Arial"/>
          <w:b/>
          <w:sz w:val="22"/>
        </w:rPr>
        <w:t>6 years</w:t>
      </w:r>
      <w:r>
        <w:rPr>
          <w:rFonts w:ascii="Arial" w:hAnsi="Arial"/>
          <w:sz w:val="22"/>
        </w:rPr>
        <w:t xml:space="preserve"> after expiry/the teacher leaving.</w:t>
      </w:r>
    </w:p>
    <w:p>
      <w:pPr>
        <w:spacing w:after="40"/>
        <w:ind w:left="620" w:hanging="260"/>
      </w:pPr>
      <w:r>
        <w:rPr>
          <w:rFonts w:ascii="Arial" w:hAnsi="Arial"/>
          <w:sz w:val="22"/>
        </w:rPr>
        <w:t xml:space="preserve">•  </w:t>
      </w:r>
      <w:r>
        <w:rPr>
          <w:rFonts w:ascii="Arial" w:hAnsi="Arial"/>
          <w:b/>
          <w:sz w:val="22"/>
        </w:rPr>
        <w:t>Deletion enforcement — interim decision:</w:t>
      </w:r>
      <w:r>
        <w:rPr>
          <w:rFonts w:ascii="Arial" w:hAnsi="Arial"/>
          <w:sz w:val="22"/>
        </w:rPr>
        <w:t xml:space="preserve"> manual, Admin-triggered deletion once a record passes its retention period (an Admin-facing "records due for deletion" report from </w:t>
      </w:r>
      <w:r>
        <w:rPr>
          <w:rFonts w:ascii="Consolas" w:hAnsi="Consolas"/>
          <w:rFonts w:ascii="Consolas" w:hAnsi="Consolas"/>
          <w:sz w:val="20"/>
        </w:rPr>
        <w:t>ConsentExpiryJob</w:t>
      </w:r>
      <w:r>
        <w:rPr>
          <w:rFonts w:ascii="Arial" w:hAnsi="Arial"/>
          <w:sz w:val="22"/>
        </w:rPr>
        <w:t>'s wider sweep). Full automated purge is deferred — acceptable for solo-scale operation, but recorded here as a deliberate interim choice, not an oversight (per design review).</w:t>
      </w:r>
    </w:p>
    <w:p>
      <w:pPr>
        <w:spacing w:after="40"/>
        <w:ind w:left="620" w:hanging="260"/>
      </w:pPr>
      <w:r>
        <w:rPr>
          <w:rFonts w:ascii="Arial" w:hAnsi="Arial"/>
          <w:sz w:val="22"/>
        </w:rPr>
        <w:t xml:space="preserve">•  </w:t>
      </w:r>
      <w:r>
        <w:rPr>
          <w:rFonts w:ascii="Arial" w:hAnsi="Arial"/>
          <w:b/>
          <w:sz w:val="22"/>
        </w:rPr>
        <w:t>Hard delete vs anonymisation — decided (second design review):</w:t>
      </w:r>
      <w:r>
        <w:rPr>
          <w:rFonts w:ascii="Arial" w:hAnsi="Arial"/>
          <w:sz w:val="22"/>
        </w:rPr>
        <w:t xml:space="preserve"> hard delete. Simpler to reason about and implement solo, avoids the adequacy debate over whether an anonymisation technique genuinely prevents re-identification (a live UK GDPR concern), and nothing in the confirmed requirements needs retained-but-anonymised data for ongoing reporting/analytics. Owner can override if historical trend reporting turns out to matter later.</w:t>
      </w:r>
    </w:p>
    <w:p>
      <w:pPr>
        <w:spacing w:after="40"/>
        <w:ind w:left="620" w:hanging="260"/>
      </w:pPr>
      <w:r>
        <w:rPr>
          <w:rFonts w:ascii="Arial" w:hAnsi="Arial"/>
          <w:sz w:val="22"/>
        </w:rPr>
        <w:t xml:space="preserve">•  </w:t>
      </w:r>
      <w:r>
        <w:rPr>
          <w:rFonts w:ascii="Arial" w:hAnsi="Arial"/>
          <w:sz w:val="22"/>
        </w:rPr>
        <w:t xml:space="preserve">No migration — clean start (confirmed, </w:t>
      </w:r>
      <w:r>
        <w:rPr>
          <w:rFonts w:ascii="Consolas" w:hAnsi="Consolas"/>
          <w:rFonts w:ascii="Consolas" w:hAnsi="Consolas"/>
          <w:sz w:val="20"/>
        </w:rPr>
        <w:t>raid.md</w:t>
      </w:r>
      <w:r>
        <w:rPr>
          <w:rFonts w:ascii="Arial" w:hAnsi="Arial"/>
          <w:sz w:val="22"/>
        </w:rPr>
        <w:t xml:space="preserve"> A-003).</w:t>
      </w:r>
    </w:p>
    <w:p>
      <w:pPr>
        <w:keepNext/>
        <w:spacing w:before="280" w:after="120"/>
        <w:outlineLvl w:val="0"/>
      </w:pPr>
      <w:r>
        <w:rPr>
          <w:rFonts w:ascii="Arial" w:hAnsi="Arial"/>
          <w:b/>
          <w:color w:val="111827"/>
          <w:sz w:val="32"/>
        </w:rPr>
        <w:t>Integration</w:t>
      </w:r>
    </w:p>
    <w:p>
      <w:pPr>
        <w:spacing w:after="80"/>
      </w:pPr>
      <w:r>
        <w:rPr>
          <w:rFonts w:ascii="Arial" w:hAnsi="Arial"/>
          <w:sz w:val="22"/>
        </w:rPr>
        <w:t>Status: in progress</w:t>
      </w:r>
    </w:p>
    <w:p>
      <w:pPr>
        <w:keepNext/>
        <w:spacing w:before="200" w:after="80"/>
        <w:outlineLvl w:val="1"/>
      </w:pPr>
      <w:r>
        <w:rPr>
          <w:rFonts w:ascii="Arial" w:hAnsi="Arial"/>
          <w:b/>
          <w:color w:val="1F2937"/>
          <w:sz w:val="26"/>
        </w:rPr>
        <w:t>Existing systems</w:t>
      </w:r>
    </w:p>
    <w:p>
      <w:pPr>
        <w:spacing w:after="40"/>
        <w:ind w:left="620" w:hanging="260"/>
      </w:pPr>
      <w:r>
        <w:rPr>
          <w:rFonts w:ascii="Arial" w:hAnsi="Arial"/>
          <w:sz w:val="22"/>
        </w:rPr>
        <w:t xml:space="preserve">•  </w:t>
      </w:r>
      <w:r>
        <w:rPr>
          <w:rFonts w:ascii="Arial" w:hAnsi="Arial"/>
          <w:sz w:val="22"/>
        </w:rPr>
        <w:t>None. This is a standalone application — no integration required with any existing membership/payments/calendar/booking system.</w:t>
      </w:r>
    </w:p>
    <w:p>
      <w:pPr>
        <w:spacing w:after="40"/>
        <w:ind w:left="620" w:hanging="260"/>
      </w:pPr>
      <w:r>
        <w:rPr>
          <w:rFonts w:ascii="Arial" w:hAnsi="Arial"/>
          <w:sz w:val="22"/>
        </w:rPr>
        <w:t xml:space="preserve">•  </w:t>
      </w:r>
      <w:r>
        <w:rPr>
          <w:rFonts w:ascii="Arial" w:hAnsi="Arial"/>
          <w:sz w:val="22"/>
        </w:rPr>
        <w:t>Outbound email sending (notifications, consent reminders, certificates) is required, but as a generic capability (e.g. a transactional email service), not an integration with a specific existing platform.</w:t>
      </w:r>
    </w:p>
    <w:p>
      <w:pPr>
        <w:keepNext/>
        <w:spacing w:before="200" w:after="80"/>
        <w:outlineLvl w:val="1"/>
      </w:pPr>
      <w:r>
        <w:rPr>
          <w:rFonts w:ascii="Arial" w:hAnsi="Arial"/>
          <w:b/>
          <w:color w:val="1F2937"/>
          <w:sz w:val="26"/>
        </w:rPr>
        <w:t>Data migration</w:t>
      </w:r>
    </w:p>
    <w:p>
      <w:pPr>
        <w:spacing w:after="40"/>
        <w:ind w:left="620" w:hanging="260"/>
      </w:pPr>
      <w:r>
        <w:rPr>
          <w:rFonts w:ascii="Arial" w:hAnsi="Arial"/>
          <w:sz w:val="22"/>
        </w:rPr>
        <w:t xml:space="preserve">•  </w:t>
      </w:r>
      <w:r>
        <w:rPr>
          <w:rFonts w:ascii="Arial" w:hAnsi="Arial"/>
          <w:sz w:val="22"/>
        </w:rPr>
        <w:t>Clean start — no migration of historical spreadsheet data. Existing students/state will be re-entered fresh in the new system.</w:t>
      </w:r>
    </w:p>
    <w:p>
      <w:pPr>
        <w:keepNext/>
        <w:spacing w:before="280" w:after="120"/>
        <w:outlineLvl w:val="0"/>
      </w:pPr>
      <w:r>
        <w:rPr>
          <w:rFonts w:ascii="Arial" w:hAnsi="Arial"/>
          <w:b/>
          <w:color w:val="111827"/>
          <w:sz w:val="32"/>
        </w:rPr>
        <w:t>Assumptions</w:t>
      </w:r>
    </w:p>
    <w:p>
      <w:pPr>
        <w:spacing w:after="120" w:before="0"/>
      </w:pPr>
      <w:r>
        <w:rPr>
          <w:rFonts w:ascii="Arial" w:hAnsi="Arial"/>
          <w:b w:val="0"/>
          <w:i w:val="0"/>
          <w:sz w:val="22"/>
        </w:rPr>
        <w:t>Assumptions are tracked as A-nnn entries in the RAID log (VLMS-RAID / docs/governance/raid.md). Source-specific assumptions are stated in the sections above.</w:t>
      </w:r>
    </w:p>
    <w:p>
      <w:pPr>
        <w:keepNext/>
        <w:spacing w:before="280" w:after="120"/>
        <w:outlineLvl w:val="0"/>
      </w:pPr>
      <w:r>
        <w:rPr>
          <w:rFonts w:ascii="Arial" w:hAnsi="Arial"/>
          <w:b/>
          <w:color w:val="111827"/>
          <w:sz w:val="32"/>
        </w:rPr>
        <w:t>Open Questions and [TBC] Gaps</w:t>
      </w:r>
    </w:p>
    <w:p>
      <w:pPr>
        <w:spacing w:after="120" w:before="0"/>
      </w:pPr>
      <w:r>
        <w:rPr>
          <w:rFonts w:ascii="Arial" w:hAnsi="Arial"/>
          <w:b w:val="0"/>
          <w:i w:val="0"/>
          <w:sz w:val="22"/>
        </w:rPr>
        <w:t>No [TBC] markers in the source markdown at this gate.</w:t>
      </w:r>
    </w:p>
    <w:p>
      <w:pPr>
        <w:keepNext/>
        <w:spacing w:before="280" w:after="120"/>
        <w:outlineLvl w:val="0"/>
      </w:pPr>
      <w:r>
        <w:rPr>
          <w:rFonts w:ascii="Arial" w:hAnsi="Arial"/>
          <w:b/>
          <w:color w:val="111827"/>
          <w:sz w:val="32"/>
        </w:rPr>
        <w:t>Glossary</w:t>
      </w:r>
    </w:p>
    <w:p>
      <w:pPr>
        <w:spacing w:after="120" w:before="0"/>
      </w:pPr>
      <w:r>
        <w:rPr>
          <w:rFonts w:ascii="Arial" w:hAnsi="Arial"/>
          <w:b w:val="0"/>
          <w:i w:val="0"/>
          <w:sz w:val="22"/>
        </w:rPr>
        <w:t>Terms are defined in the VLMS Glossary (VLMS-GLOS / docs/glossary.md).</w:t>
      </w:r>
    </w:p>
    <w:sectPr w:rsidR="00FC693F" w:rsidRPr="0006063C" w:rsidSect="00034616">
      <w:headerReference w:type="default" r:id="rId9"/>
      <w:footerReference w:type="default" r:id="rId10"/>
      <w:pgSz w:w="11906" w:h="16838"/>
      <w:pgMar w:top="1440" w:right="1440" w:bottom="1440" w:left="144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Pr>
        <w:rFonts w:ascii="Arial" w:hAnsi="Arial"/>
        <w:color w:val="6B7280"/>
        <w:sz w:val="16"/>
      </w:rPr>
      <w:t>VLMS Low-Level Design</w:t>
      <w:tab/>
    </w:r>
    <w:r>
      <w:rPr>
        <w:rFonts w:ascii="Arial" w:hAnsi="Arial"/>
        <w:color w:val="6B7280"/>
        <w:sz w:val="16"/>
      </w:rPr>
      <w:t xml:space="preserve">Page </w:t>
    </w:r>
    <w:r>
      <w:rPr>
        <w:rFonts w:ascii="Arial" w:hAnsi="Arial"/>
        <w:color w:val="6B7280"/>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