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Non-Functional Requirements Specification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– Delivery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Non-Functional Requirements Specification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VLMS-NFR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(firmed up)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docs/requirements/non-functional.md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13 October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Delivery gate edition, rendered from docs/ working markdown (supersedes design gate edition where one exists).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Standards and Conformance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This document satisfies or is consistent with: ISO/IEC 25010:2023 (product quality), OWASP ASVS 5.0, WCAG 2.2.</w:t>
      </w:r>
    </w:p>
    <w:p>
      <w:pPr>
        <w:spacing w:after="120" w:before="0"/>
      </w:pPr>
      <w:r>
        <w:rPr>
          <w:rFonts w:ascii="Arial" w:hAnsi="Arial"/>
          <w:b w:val="0"/>
          <w:i/>
          <w:sz w:val="20"/>
        </w:rPr>
        <w:t>Generated from the working markdown listed in Related documents; the markdown is authoritative. Status of source material is reproduced as written in each source.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Non-Functional Requirements</w:t>
      </w:r>
    </w:p>
    <w:p>
      <w:pPr>
        <w:spacing w:after="80"/>
      </w:pPr>
      <w:r>
        <w:rPr>
          <w:rFonts w:ascii="Arial" w:hAnsi="Arial"/>
          <w:sz w:val="22"/>
        </w:rPr>
        <w:t>Status: in progress (ISO/IEC 25010:2023 checklist)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Availability/reliability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Best-effort — no formal uptime SLA/RPO/RTO target. Brief downtime for deploys/maintenance is acceptable. Must reliably work during actual usage windows (evenings/weekends around sessions).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Interaction capability / accessibility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>WCAG 2.2 AA conformance — a firm, testable NFR (not just good-practice aspiration), given parents and students of varying ability use the system.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Security (NFR-001)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See </w:t>
      </w:r>
      <w:r>
        <w:rPr>
          <w:rFonts w:ascii="Consolas" w:hAnsi="Consolas"/>
          <w:rFonts w:ascii="Consolas" w:hAnsi="Consolas"/>
          <w:sz w:val="20"/>
        </w:rPr>
        <w:t>governance/security-compliance.md</w:t>
      </w:r>
      <w:r>
        <w:rPr>
          <w:rFonts w:ascii="Arial" w:hAnsi="Arial"/>
          <w:sz w:val="22"/>
        </w:rPr>
        <w:t xml:space="preserve"> for the safeguarding/consent data classification drivers (UK GDPR/DPA 2018, special-category and children's data).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Whole-entity access control/restriction on sensitive data, and audit logging of </w:t>
      </w:r>
      <w:r>
        <w:rPr>
          <w:rFonts w:ascii="Arial" w:hAnsi="Arial"/>
          <w:b/>
          <w:sz w:val="22"/>
        </w:rPr>
        <w:t>reads</w:t>
      </w:r>
      <w:r>
        <w:rPr>
          <w:rFonts w:ascii="Arial" w:hAnsi="Arial"/>
          <w:sz w:val="22"/>
        </w:rPr>
        <w:t xml:space="preserve"> (not just writes) of </w:t>
      </w:r>
      <w:r>
        <w:rPr>
          <w:rFonts w:ascii="Consolas" w:hAnsi="Consolas"/>
          <w:rFonts w:ascii="Consolas" w:hAnsi="Consolas"/>
          <w:sz w:val="20"/>
        </w:rPr>
        <w:t>DbsCheck</w:t>
      </w:r>
      <w:r>
        <w:rPr>
          <w:rFonts w:ascii="Arial" w:hAnsi="Arial"/>
          <w:sz w:val="22"/>
        </w:rPr>
        <w:t>/</w:t>
      </w:r>
      <w:r>
        <w:rPr>
          <w:rFonts w:ascii="Consolas" w:hAnsi="Consolas"/>
          <w:rFonts w:ascii="Consolas" w:hAnsi="Consolas"/>
          <w:sz w:val="20"/>
        </w:rPr>
        <w:t>ConsentSensitiveDetails</w:t>
      </w:r>
      <w:r>
        <w:rPr>
          <w:rFonts w:ascii="Arial" w:hAnsi="Arial"/>
          <w:sz w:val="22"/>
        </w:rPr>
        <w:t xml:space="preserve"> — confirmed as a firm NFR, enforced via </w:t>
      </w:r>
      <w:r>
        <w:rPr>
          <w:rFonts w:ascii="Consolas" w:hAnsi="Consolas"/>
          <w:rFonts w:ascii="Consolas" w:hAnsi="Consolas"/>
          <w:sz w:val="20"/>
        </w:rPr>
        <w:t>adr/0004-sensitive-data-access-control.md</w:t>
      </w:r>
      <w:r>
        <w:rPr>
          <w:rFonts w:ascii="Arial" w:hAnsi="Arial"/>
          <w:sz w:val="22"/>
        </w:rPr>
        <w:t xml:space="preserve">. (Wording corrected at third design review: the original text said "column-level... </w:t>
      </w:r>
      <w:r>
        <w:rPr>
          <w:rFonts w:ascii="Consolas" w:hAnsi="Consolas"/>
          <w:rFonts w:ascii="Consolas" w:hAnsi="Consolas"/>
          <w:sz w:val="20"/>
        </w:rPr>
        <w:t>ConsentRecord</w:t>
      </w:r>
      <w:r>
        <w:rPr>
          <w:rFonts w:ascii="Arial" w:hAnsi="Arial"/>
          <w:sz w:val="22"/>
        </w:rPr>
        <w:t>", which described the mechanism found not to work — see ADR-0004.)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Compatibility (NFR-004)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sz w:val="22"/>
        </w:rPr>
        <w:t xml:space="preserve">Concrete conformance target, confirmed at design review (was previously unwalked): current versions of Chrome, Edge, Safari, and Firefox, on Windows, macOS, iOS, and Android, per Blazor supported platforms (https://learn.microsoft.com/aspnet/core/blazor/supported-platforms) — matches the phone/tablet/browser access requirement in </w:t>
      </w:r>
      <w:r>
        <w:rPr>
          <w:rFonts w:ascii="Consolas" w:hAnsi="Consolas"/>
          <w:rFonts w:ascii="Consolas" w:hAnsi="Consolas"/>
          <w:sz w:val="20"/>
        </w:rPr>
        <w:t>requirements/constraints.md</w:t>
      </w:r>
      <w:r>
        <w:rPr>
          <w:rFonts w:ascii="Arial" w:hAnsi="Arial"/>
          <w:sz w:val="22"/>
        </w:rPr>
        <w:t xml:space="preserve"> without committing to legacy-browser support no user of this system needs.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Performance, scalability</w:t>
      </w:r>
    </w:p>
    <w:p>
      <w:pPr>
        <w:spacing w:after="80"/>
      </w:pPr>
      <w:r>
        <w:rPr>
          <w:rFonts w:ascii="Arial" w:hAnsi="Arial"/>
          <w:sz w:val="22"/>
        </w:rPr>
        <w:t xml:space="preserve">Status: carried forward, not yet walked in detail — scale is small (tens of users per role, see </w:t>
      </w:r>
      <w:r>
        <w:rPr>
          <w:rFonts w:ascii="Consolas" w:hAnsi="Consolas"/>
          <w:rFonts w:ascii="Consolas" w:hAnsi="Consolas"/>
          <w:sz w:val="20"/>
        </w:rPr>
        <w:t>stakeholders.md</w:t>
      </w:r>
      <w:r>
        <w:rPr>
          <w:rFonts w:ascii="Arial" w:hAnsi="Arial"/>
          <w:sz w:val="22"/>
        </w:rPr>
        <w:t>), so demanding performance/throughput targets are unlikely to be the binding constraint. Acceptable to firm up at the delivery gate rather than block design approval.</w:t>
      </w: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Other ISO/IEC 25010:2023 characteristics (addressed, not silently omitted)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Functional suitability:</w:t>
      </w:r>
      <w:r>
        <w:rPr>
          <w:rFonts w:ascii="Arial" w:hAnsi="Arial"/>
          <w:sz w:val="22"/>
        </w:rPr>
        <w:t xml:space="preserve"> covered by </w:t>
      </w:r>
      <w:r>
        <w:rPr>
          <w:rFonts w:ascii="Consolas" w:hAnsi="Consolas"/>
          <w:rFonts w:ascii="Consolas" w:hAnsi="Consolas"/>
          <w:sz w:val="20"/>
        </w:rPr>
        <w:t>requirements/functional.md</w:t>
      </w:r>
      <w:r>
        <w:rPr>
          <w:rFonts w:ascii="Arial" w:hAnsi="Arial"/>
          <w:sz w:val="22"/>
        </w:rPr>
        <w:t xml:space="preserve"> (FR-001–005 and narrative requirements) and </w:t>
      </w:r>
      <w:r>
        <w:rPr>
          <w:rFonts w:ascii="Consolas" w:hAnsi="Consolas"/>
          <w:rFonts w:ascii="Consolas" w:hAnsi="Consolas"/>
          <w:sz w:val="20"/>
        </w:rPr>
        <w:t>quality/traceability.md</w:t>
      </w:r>
      <w:r>
        <w:rPr>
          <w:rFonts w:ascii="Arial" w:hAnsi="Arial"/>
          <w:sz w:val="22"/>
        </w:rPr>
        <w:t>, not repeated here.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Maintainability:</w:t>
      </w:r>
      <w:r>
        <w:rPr>
          <w:rFonts w:ascii="Arial" w:hAnsi="Arial"/>
          <w:sz w:val="22"/>
        </w:rPr>
        <w:t xml:space="preserve"> solo-maintainer constraint is the dominant driver of several architecture decisions already (ADR-0001 stack choice, ADR-0003 WebJobs over Functions, ADR-0004's structural-not-per-call enforcement) — treated as a cross-cutting design principle rather than a separate testable NFR.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Flexibility (scalability beyond the stated horizon):</w:t>
      </w:r>
      <w:r>
        <w:rPr>
          <w:rFonts w:ascii="Arial" w:hAnsi="Arial"/>
          <w:sz w:val="22"/>
        </w:rPr>
        <w:t xml:space="preserve"> explicitly not a design goal — </w:t>
      </w:r>
      <w:r>
        <w:rPr>
          <w:rFonts w:ascii="Consolas" w:hAnsi="Consolas"/>
          <w:rFonts w:ascii="Consolas" w:hAnsi="Consolas"/>
          <w:sz w:val="20"/>
        </w:rPr>
        <w:t>raid.md</w:t>
      </w:r>
      <w:r>
        <w:rPr>
          <w:rFonts w:ascii="Arial" w:hAnsi="Arial"/>
          <w:sz w:val="22"/>
        </w:rPr>
        <w:t xml:space="preserve"> A-002 states the ~2-year, tens-of-users horizon is what the architecture targets; scaling further is future rework, not a current requirement.</w:t>
      </w:r>
    </w:p>
    <w:p>
      <w:pPr>
        <w:spacing w:after="40"/>
        <w:ind w:left="620" w:hanging="260"/>
      </w:pPr>
      <w:r>
        <w:rPr>
          <w:rFonts w:ascii="Arial" w:hAnsi="Arial"/>
          <w:sz w:val="22"/>
        </w:rPr>
        <w:t xml:space="preserve">•  </w:t>
      </w:r>
      <w:r>
        <w:rPr>
          <w:rFonts w:ascii="Arial" w:hAnsi="Arial"/>
          <w:b/>
          <w:sz w:val="22"/>
        </w:rPr>
        <w:t>Safety:</w:t>
      </w:r>
      <w:r>
        <w:rPr>
          <w:rFonts w:ascii="Arial" w:hAnsi="Arial"/>
          <w:sz w:val="22"/>
        </w:rPr>
        <w:t xml:space="preserve"> no physical/operational safety characteristics apply to this system beyond the safeguarding data handling already covered under Security — noted here as genuinely not applicable, not overlooked.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Assumptions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Assumptions are tracked as A-nnn entries in the RAID log (VLMS-RAID / docs/governance/raid.md). Source-specific assumptions are stated in the sections above.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Open Questions and [TBC] Gaps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No [TBC] markers in the source markdown at this gate.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Glossary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Terms are defined in the VLMS Glossary (VLMS-GLOS / docs/glossary.md).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Non-Functional Requirements Specification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