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RAID Log and Risk Register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RAID Log and Risk Register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VLMS-RAID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(ongoing)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docs/governance/raid.md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 31000:2018 (risk management).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RAID Log</w:t>
      </w:r>
    </w:p>
    <w:p>
      <w:pPr>
        <w:spacing w:after="80"/>
      </w:pPr>
      <w:r>
        <w:rPr>
          <w:rFonts w:ascii="Arial" w:hAnsi="Arial"/>
          <w:sz w:val="22"/>
        </w:rPr>
        <w:t>Status: in progress (per ISO 31000:2018 — proportionate to a solo-delivered project)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Risks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R-001:</w:t>
      </w:r>
      <w:r>
        <w:rPr>
          <w:rFonts w:ascii="Arial" w:hAnsi="Arial"/>
          <w:sz w:val="22"/>
        </w:rPr>
        <w:t xml:space="preserve"> Special-category/children's data (safeguarding, medical, consent, DBS) is managed in-system; a data-protection failure has real safeguarding consequences, not just reputational cost. Mitigation: </w:t>
      </w:r>
      <w:r>
        <w:rPr>
          <w:rFonts w:ascii="Consolas" w:hAnsi="Consolas"/>
          <w:rFonts w:ascii="Consolas" w:hAnsi="Consolas"/>
          <w:sz w:val="20"/>
        </w:rPr>
        <w:t>governance/security-compliance.md</w:t>
      </w:r>
      <w:r>
        <w:rPr>
          <w:rFonts w:ascii="Arial" w:hAnsi="Arial"/>
          <w:sz w:val="22"/>
        </w:rPr>
        <w:t xml:space="preserve">, OWASP ASVS-aligned NFRs, and — added across three design-review passes — the </w:t>
      </w:r>
      <w:r>
        <w:rPr>
          <w:rFonts w:ascii="Consolas" w:hAnsi="Consolas"/>
          <w:rFonts w:ascii="Consolas" w:hAnsi="Consolas"/>
          <w:sz w:val="20"/>
        </w:rPr>
        <w:t>ConsentRecord</w:t>
      </w:r>
      <w:r>
        <w:rPr>
          <w:rFonts w:ascii="Arial" w:hAnsi="Arial"/>
          <w:sz w:val="22"/>
        </w:rPr>
        <w:t>/</w:t>
      </w:r>
      <w:r>
        <w:rPr>
          <w:rFonts w:ascii="Consolas" w:hAnsi="Consolas"/>
          <w:rFonts w:ascii="Consolas" w:hAnsi="Consolas"/>
          <w:sz w:val="20"/>
        </w:rPr>
        <w:t>ConsentSensitiveDetails</w:t>
      </w:r>
      <w:r>
        <w:rPr>
          <w:rFonts w:ascii="Arial" w:hAnsi="Arial"/>
          <w:sz w:val="22"/>
        </w:rPr>
        <w:t xml:space="preserve"> entity split with structural whole-entity access control (</w:t>
      </w:r>
      <w:r>
        <w:rPr>
          <w:rFonts w:ascii="Consolas" w:hAnsi="Consolas"/>
          <w:rFonts w:ascii="Consolas" w:hAnsi="Consolas"/>
          <w:sz w:val="20"/>
        </w:rPr>
        <w:t>adr/0004-sensitive-data-access-control.md</w:t>
      </w:r>
      <w:r>
        <w:rPr>
          <w:rFonts w:ascii="Arial" w:hAnsi="Arial"/>
          <w:sz w:val="22"/>
        </w:rPr>
        <w:t xml:space="preserve">: EF Core global query filters + </w:t>
      </w:r>
      <w:r>
        <w:rPr>
          <w:rFonts w:ascii="Consolas" w:hAnsi="Consolas"/>
          <w:rFonts w:ascii="Consolas" w:hAnsi="Consolas"/>
          <w:sz w:val="20"/>
        </w:rPr>
        <w:t>IMaterializationInterceptor</w:t>
      </w:r>
      <w:r>
        <w:rPr>
          <w:rFonts w:ascii="Arial" w:hAnsi="Arial"/>
          <w:sz w:val="22"/>
        </w:rPr>
        <w:t>-based read audit log) and verified guardian-linking (</w:t>
      </w:r>
      <w:r>
        <w:rPr>
          <w:rFonts w:ascii="Consolas" w:hAnsi="Consolas"/>
          <w:rFonts w:ascii="Consolas" w:hAnsi="Consolas"/>
          <w:sz w:val="20"/>
        </w:rPr>
        <w:t>design/data-design.md</w:t>
      </w:r>
      <w:r>
        <w:rPr>
          <w:rFonts w:ascii="Arial" w:hAnsi="Arial"/>
          <w:sz w:val="22"/>
        </w:rPr>
        <w:t>), closing gaps the initial design left open (no read-audit trail; no verification that a self-registering parent was genuinely a child's guardian; a masking mechanism that couldn't actually mask individual columns; an audit-write mechanism that couldn't reliably identify which entity was read).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R-002:</w:t>
      </w:r>
      <w:r>
        <w:rPr>
          <w:rFonts w:ascii="Arial" w:hAnsi="Arial"/>
          <w:sz w:val="22"/>
        </w:rPr>
        <w:t xml:space="preserve"> Solo developer/maintainer — no delivery redundancy. Bus-factor risk for ongoing operation and support.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Assumptions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A-001:</w:t>
      </w:r>
      <w:r>
        <w:rPr>
          <w:rFonts w:ascii="Arial" w:hAnsi="Arial"/>
          <w:sz w:val="22"/>
        </w:rPr>
        <w:t xml:space="preserve"> No external safeguarding governing body/regulator beyond general UK law (confirmed with owner).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A-002:</w:t>
      </w:r>
      <w:r>
        <w:rPr>
          <w:rFonts w:ascii="Arial" w:hAnsi="Arial"/>
          <w:sz w:val="22"/>
        </w:rPr>
        <w:t xml:space="preserve"> Scale remains "tens of users per role" over the ~2-year horizon; architecture is not being designed for hundreds/thousands of users.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A-003:</w:t>
      </w:r>
      <w:r>
        <w:rPr>
          <w:rFonts w:ascii="Arial" w:hAnsi="Arial"/>
          <w:sz w:val="22"/>
        </w:rPr>
        <w:t xml:space="preserve"> No data migration from the prior spreadsheets — clean start.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Issues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None currently open.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Dependencies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D-001:</w:t>
      </w:r>
      <w:r>
        <w:rPr>
          <w:rFonts w:ascii="Arial" w:hAnsi="Arial"/>
          <w:sz w:val="22"/>
        </w:rPr>
        <w:t xml:space="preserve"> Certificate PDF generation approach selected (QuestPDF, </w:t>
      </w:r>
      <w:r>
        <w:rPr>
          <w:rFonts w:ascii="Consolas" w:hAnsi="Consolas"/>
          <w:rFonts w:ascii="Consolas" w:hAnsi="Consolas"/>
          <w:sz w:val="20"/>
        </w:rPr>
        <w:t>adr/0001-technology-stack.md</w:t>
      </w:r>
      <w:r>
        <w:rPr>
          <w:rFonts w:ascii="Arial" w:hAnsi="Arial"/>
          <w:sz w:val="22"/>
        </w:rPr>
        <w:t xml:space="preserve">); a certificate template still needs to be designed before build (see </w:t>
      </w:r>
      <w:r>
        <w:rPr>
          <w:rFonts w:ascii="Consolas" w:hAnsi="Consolas"/>
          <w:rFonts w:ascii="Consolas" w:hAnsi="Consolas"/>
          <w:sz w:val="20"/>
        </w:rPr>
        <w:t>requirements/functional.md</w:t>
      </w:r>
      <w:r>
        <w:rPr>
          <w:rFonts w:ascii="Arial" w:hAnsi="Arial"/>
          <w:sz w:val="22"/>
        </w:rPr>
        <w:t>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D-002 (updated by `adr/0005-hosting-pivot-self-hosted-vps-postgresql.md`):</w:t>
      </w:r>
      <w:r>
        <w:rPr>
          <w:rFonts w:ascii="Arial" w:hAnsi="Arial"/>
          <w:sz w:val="22"/>
        </w:rPr>
        <w:t xml:space="preserve"> Outbound transactional email now goes via SMTP (the organisation's existing Microsoft 365 mailbox, or a free-tier transactional provider — final pick tracked as a build item) rather than Azure Communication Services Email. A verified sending domain (SPF/DKIM/DMARC) is provider-agnostic and is still required before go-live regardless of which SMTP path is chosen.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D-003 (added at second design review):</w:t>
      </w:r>
      <w:r>
        <w:rPr>
          <w:rFonts w:ascii="Arial" w:hAnsi="Arial"/>
          <w:sz w:val="22"/>
        </w:rPr>
        <w:t xml:space="preserve"> DPIA (Data Protection Impact Assessment) screening against ICO guidance is required given special-category and children's data are processed (UK GDPR Art. 35). </w:t>
      </w:r>
      <w:r>
        <w:rPr>
          <w:rFonts w:ascii="Arial" w:hAnsi="Arial"/>
          <w:b/>
          <w:sz w:val="22"/>
        </w:rPr>
        <w:t>Owner: Philip. Due: before go-live</w:t>
      </w:r>
      <w:r>
        <w:rPr>
          <w:rFonts w:ascii="Arial" w:hAnsi="Arial"/>
          <w:sz w:val="22"/>
        </w:rPr>
        <w:t xml:space="preserve">, not deferred to an undated future document — this is a dated, owned commitment recorded here directly rather than a forward reference to </w:t>
      </w:r>
      <w:r>
        <w:rPr>
          <w:rFonts w:ascii="Consolas" w:hAnsi="Consolas"/>
          <w:rFonts w:ascii="Consolas" w:hAnsi="Consolas"/>
          <w:sz w:val="20"/>
        </w:rPr>
        <w:t>delivery-plan.md</w:t>
      </w:r>
      <w:r>
        <w:rPr>
          <w:rFonts w:ascii="Arial" w:hAnsi="Arial"/>
          <w:sz w:val="22"/>
        </w:rPr>
        <w:t xml:space="preserve">. </w:t>
      </w:r>
      <w:r>
        <w:rPr>
          <w:rFonts w:ascii="Arial" w:hAnsi="Arial"/>
          <w:b/>
          <w:sz w:val="22"/>
        </w:rPr>
        <w:t>Draft DPIA written 13/10/2026: `governance/dpia.md`</w:t>
      </w:r>
      <w:r>
        <w:rPr>
          <w:rFonts w:ascii="Arial" w:hAnsi="Arial"/>
          <w:sz w:val="22"/>
        </w:rPr>
        <w:t xml:space="preserve"> (screening and full assessment; lawful bases and sign-off await Philip), with a draft privacy notice in </w:t>
      </w:r>
      <w:r>
        <w:rPr>
          <w:rFonts w:ascii="Consolas" w:hAnsi="Consolas"/>
          <w:rFonts w:ascii="Consolas" w:hAnsi="Consolas"/>
          <w:sz w:val="20"/>
        </w:rPr>
        <w:t>governance/privacy-notice.md</w:t>
      </w:r>
      <w:r>
        <w:rPr>
          <w:rFonts w:ascii="Arial" w:hAnsi="Arial"/>
          <w:sz w:val="22"/>
        </w:rPr>
        <w:t>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**D-004 (added when the ADR-0004 §4 tamper-protection DENY was re-targeted to </w:t>
      </w:r>
      <w:r>
        <w:rPr>
          <w:rFonts w:ascii="Consolas" w:hAnsi="Consolas"/>
          <w:rFonts w:ascii="Consolas" w:hAnsi="Consolas"/>
          <w:sz w:val="20"/>
        </w:rPr>
        <w:t>public</w:t>
      </w:r>
      <w:r>
        <w:rPr>
          <w:rFonts w:ascii="Arial" w:hAnsi="Arial"/>
          <w:sz w:val="22"/>
        </w:rPr>
        <w:t xml:space="preserve">; the PostgreSQL port under </w:t>
      </w:r>
      <w:r>
        <w:rPr>
          <w:rFonts w:ascii="Consolas" w:hAnsi="Consolas"/>
          <w:rFonts w:ascii="Consolas" w:hAnsi="Consolas"/>
          <w:sz w:val="20"/>
        </w:rPr>
        <w:t>adr/0005-hosting-pivot-self-hosted-vps-postgresql.md</w:t>
      </w:r>
      <w:r>
        <w:rPr>
          <w:rFonts w:ascii="Arial" w:hAnsi="Arial"/>
          <w:sz w:val="22"/>
        </w:rPr>
        <w:t xml:space="preserve"> made this dependency more load-bearing, not just provider-generic; </w:t>
      </w:r>
      <w:r>
        <w:rPr>
          <w:rFonts w:ascii="Arial" w:hAnsi="Arial"/>
          <w:b/>
          <w:sz w:val="22"/>
        </w:rPr>
        <w:t>structurally closed for ordinary roles at pass 8</w:t>
      </w:r>
      <w:r>
        <w:rPr>
          <w:rFonts w:ascii="Arial" w:hAnsi="Arial"/>
          <w:sz w:val="22"/>
        </w:rPr>
        <w:t xml:space="preserve"> — see below):</w:t>
      </w:r>
      <w:r>
        <w:rPr>
          <w:rFonts w:ascii="Arial" w:hAnsi="Arial"/>
          <w:b/>
          <w:sz w:val="22"/>
        </w:rPr>
        <w:t xml:space="preserve"> the production application must connect to the database as a </w:t>
      </w:r>
      <w:r>
        <w:rPr>
          <w:rFonts w:ascii="Arial" w:hAnsi="Arial"/>
          <w:sz w:val="22"/>
        </w:rPr>
        <w:t>least-privilege role</w:t>
      </w:r>
      <w:r>
        <w:rPr>
          <w:rFonts w:ascii="Arial" w:hAnsi="Arial"/>
          <w:b/>
          <w:sz w:val="22"/>
        </w:rPr>
        <w:t xml:space="preserve"> — able to `SELECT`/`INSERT` on `sensitive_data_access_logs` but </w:t>
      </w:r>
      <w:r>
        <w:rPr>
          <w:rFonts w:ascii="Arial" w:hAnsi="Arial"/>
          <w:sz w:val="22"/>
        </w:rPr>
        <w:t>never explicitly granted</w:t>
      </w:r>
      <w:r>
        <w:rPr>
          <w:rFonts w:ascii="Arial" w:hAnsi="Arial"/>
          <w:b/>
          <w:sz w:val="22"/>
        </w:rPr>
        <w:t xml:space="preserve"> `UPDATE`/`DELETE` on it, and never the table owner or a superuser/`BYPASSRLS` role. </w:t>
      </w:r>
      <w:r>
        <w:rPr>
          <w:rFonts w:ascii="Arial" w:hAnsi="Arial"/>
          <w:sz w:val="22"/>
        </w:rPr>
        <w:t>Originally a stronger operational requirement than the SQL Server design carried** — checked against current PostgreSQL documentation, not assumed equivalent (</w:t>
      </w:r>
      <w:r>
        <w:rPr>
          <w:rFonts w:ascii="Consolas" w:hAnsi="Consolas"/>
          <w:rFonts w:ascii="Consolas" w:hAnsi="Consolas"/>
          <w:sz w:val="20"/>
        </w:rPr>
        <w:t>adr/0004-sensitive-data-access-control.md</w:t>
      </w:r>
      <w:r>
        <w:rPr>
          <w:rFonts w:ascii="Arial" w:hAnsi="Arial"/>
          <w:sz w:val="22"/>
        </w:rPr>
        <w:t xml:space="preserve"> §4 pass 6): SQL Server's </w:t>
      </w:r>
      <w:r>
        <w:rPr>
          <w:rFonts w:ascii="Consolas" w:hAnsi="Consolas"/>
          <w:rFonts w:ascii="Consolas" w:hAnsi="Consolas"/>
          <w:sz w:val="20"/>
        </w:rPr>
        <w:t>DENY ... TO public</w:t>
      </w:r>
      <w:r>
        <w:rPr>
          <w:rFonts w:ascii="Arial" w:hAnsi="Arial"/>
          <w:sz w:val="22"/>
        </w:rPr>
        <w:t xml:space="preserve"> overrode any grant a principal held, so only the table owner/</w:t>
      </w:r>
      <w:r>
        <w:rPr>
          <w:rFonts w:ascii="Consolas" w:hAnsi="Consolas"/>
          <w:rFonts w:ascii="Consolas" w:hAnsi="Consolas"/>
          <w:sz w:val="20"/>
        </w:rPr>
        <w:t>sysadmin</w:t>
      </w:r>
      <w:r>
        <w:rPr>
          <w:rFonts w:ascii="Arial" w:hAnsi="Arial"/>
          <w:sz w:val="22"/>
        </w:rPr>
        <w:t xml:space="preserve"> could bypass it even if mistakenly granted direct access; PostgreSQL's </w:t>
      </w:r>
      <w:r>
        <w:rPr>
          <w:rFonts w:ascii="Consolas" w:hAnsi="Consolas"/>
          <w:rFonts w:ascii="Consolas" w:hAnsi="Consolas"/>
          <w:sz w:val="20"/>
        </w:rPr>
        <w:t>REVOKE UPDATE, DELETE ON sensitive_data_access_logs FROM PUBLIC</w:t>
      </w:r>
      <w:r>
        <w:rPr>
          <w:rFonts w:ascii="Arial" w:hAnsi="Arial"/>
          <w:sz w:val="22"/>
        </w:rPr>
        <w:t xml:space="preserve"> alone had no such override.</w:t>
      </w:r>
    </w:p>
    <w:p>
      <w:pPr>
        <w:spacing w:after="80"/>
      </w:pPr>
      <w:r>
        <w:rPr>
          <w:rFonts w:ascii="Arial" w:hAnsi="Arial"/>
          <w:b/>
          <w:sz w:val="22"/>
        </w:rPr>
        <w:t>Update (pass 8, `adr/0004-sensitive-data-access-control.md` Decision §6):</w:t>
      </w:r>
      <w:r>
        <w:rPr>
          <w:rFonts w:ascii="Arial" w:hAnsi="Arial"/>
          <w:sz w:val="22"/>
        </w:rPr>
        <w:t xml:space="preserve"> Row-Level Security (</w:t>
      </w:r>
      <w:r>
        <w:rPr>
          <w:rFonts w:ascii="Consolas" w:hAnsi="Consolas"/>
          <w:rFonts w:ascii="Consolas" w:hAnsi="Consolas"/>
          <w:sz w:val="20"/>
        </w:rPr>
        <w:t>ALTER TABLE ... ENABLE/FORCE ROW LEVEL SECURITY</w:t>
      </w:r>
      <w:r>
        <w:rPr>
          <w:rFonts w:ascii="Arial" w:hAnsi="Arial"/>
          <w:sz w:val="22"/>
        </w:rPr>
        <w:t xml:space="preserve"> plus permissive </w:t>
      </w:r>
      <w:r>
        <w:rPr>
          <w:rFonts w:ascii="Consolas" w:hAnsi="Consolas"/>
          <w:rFonts w:ascii="Consolas" w:hAnsi="Consolas"/>
          <w:sz w:val="20"/>
        </w:rPr>
        <w:t>SELECT</w:t>
      </w:r>
      <w:r>
        <w:rPr>
          <w:rFonts w:ascii="Arial" w:hAnsi="Arial"/>
          <w:sz w:val="22"/>
        </w:rPr>
        <w:t>/</w:t>
      </w:r>
      <w:r>
        <w:rPr>
          <w:rFonts w:ascii="Consolas" w:hAnsi="Consolas"/>
          <w:rFonts w:ascii="Consolas" w:hAnsi="Consolas"/>
          <w:sz w:val="20"/>
        </w:rPr>
        <w:t>INSERT</w:t>
      </w:r>
      <w:r>
        <w:rPr>
          <w:rFonts w:ascii="Arial" w:hAnsi="Arial"/>
          <w:sz w:val="22"/>
        </w:rPr>
        <w:t xml:space="preserve"> policies and deliberately no </w:t>
      </w:r>
      <w:r>
        <w:rPr>
          <w:rFonts w:ascii="Consolas" w:hAnsi="Consolas"/>
          <w:rFonts w:ascii="Consolas" w:hAnsi="Consolas"/>
          <w:sz w:val="20"/>
        </w:rPr>
        <w:t>UPDATE</w:t>
      </w:r>
      <w:r>
        <w:rPr>
          <w:rFonts w:ascii="Arial" w:hAnsi="Arial"/>
          <w:sz w:val="22"/>
        </w:rPr>
        <w:t>/</w:t>
      </w:r>
      <w:r>
        <w:rPr>
          <w:rFonts w:ascii="Consolas" w:hAnsi="Consolas"/>
          <w:rFonts w:ascii="Consolas" w:hAnsi="Consolas"/>
          <w:sz w:val="20"/>
        </w:rPr>
        <w:t>DELETE</w:t>
      </w:r>
      <w:r>
        <w:rPr>
          <w:rFonts w:ascii="Arial" w:hAnsi="Arial"/>
          <w:sz w:val="22"/>
        </w:rPr>
        <w:t xml:space="preserve"> policy) now provides a structural, DENY-equivalent block on </w:t>
      </w:r>
      <w:r>
        <w:rPr>
          <w:rFonts w:ascii="Consolas" w:hAnsi="Consolas"/>
          <w:rFonts w:ascii="Consolas" w:hAnsi="Consolas"/>
          <w:sz w:val="20"/>
        </w:rPr>
        <w:t>UPDATE</w:t>
      </w:r>
      <w:r>
        <w:rPr>
          <w:rFonts w:ascii="Arial" w:hAnsi="Arial"/>
          <w:sz w:val="22"/>
        </w:rPr>
        <w:t>/</w:t>
      </w:r>
      <w:r>
        <w:rPr>
          <w:rFonts w:ascii="Consolas" w:hAnsi="Consolas"/>
          <w:rFonts w:ascii="Consolas" w:hAnsi="Consolas"/>
          <w:sz w:val="20"/>
        </w:rPr>
        <w:t>DELETE</w:t>
      </w:r>
      <w:r>
        <w:rPr>
          <w:rFonts w:ascii="Arial" w:hAnsi="Arial"/>
          <w:sz w:val="22"/>
        </w:rPr>
        <w:t xml:space="preserve"> for every role this deployment creates, including the table owner (</w:t>
      </w:r>
      <w:r>
        <w:rPr>
          <w:rFonts w:ascii="Consolas" w:hAnsi="Consolas"/>
          <w:rFonts w:ascii="Consolas" w:hAnsi="Consolas"/>
          <w:sz w:val="20"/>
        </w:rPr>
        <w:t>vlms_owner</w:t>
      </w:r>
      <w:r>
        <w:rPr>
          <w:rFonts w:ascii="Arial" w:hAnsi="Arial"/>
          <w:sz w:val="22"/>
        </w:rPr>
        <w:t xml:space="preserve">) — closing the gap the paragraph above describes for </w:t>
      </w:r>
      <w:r>
        <w:rPr>
          <w:rFonts w:ascii="Arial" w:hAnsi="Arial"/>
          <w:b/>
          <w:sz w:val="22"/>
        </w:rPr>
        <w:t>ordinary roles</w:t>
      </w:r>
      <w:r>
        <w:rPr>
          <w:rFonts w:ascii="Arial" w:hAnsi="Arial"/>
          <w:sz w:val="22"/>
        </w:rPr>
        <w:t xml:space="preserve">, not just documenting the operational discipline around it. The residual is now narrower and named precisely: only a genuine PostgreSQL </w:t>
      </w:r>
      <w:r>
        <w:rPr>
          <w:rFonts w:ascii="Arial" w:hAnsi="Arial"/>
          <w:b/>
          <w:sz w:val="22"/>
        </w:rPr>
        <w:t>superuser</w:t>
      </w:r>
      <w:r>
        <w:rPr>
          <w:rFonts w:ascii="Arial" w:hAnsi="Arial"/>
          <w:sz w:val="22"/>
        </w:rPr>
        <w:t xml:space="preserve"> session, or a role explicitly granted </w:t>
      </w:r>
      <w:r>
        <w:rPr>
          <w:rFonts w:ascii="Arial" w:hAnsi="Arial"/>
          <w:b/>
          <w:sz w:val="22"/>
        </w:rPr>
        <w:t>`BYPASSRLS`</w:t>
      </w:r>
      <w:r>
        <w:rPr>
          <w:rFonts w:ascii="Arial" w:hAnsi="Arial"/>
          <w:sz w:val="22"/>
        </w:rPr>
        <w:t xml:space="preserve">, still bypasses this — the same class of unavoidable residual the original SQL Server DENY always carried via </w:t>
      </w:r>
      <w:r>
        <w:rPr>
          <w:rFonts w:ascii="Consolas" w:hAnsi="Consolas"/>
          <w:rFonts w:ascii="Consolas" w:hAnsi="Consolas"/>
          <w:sz w:val="20"/>
        </w:rPr>
        <w:t>sysadmin</w:t>
      </w:r>
      <w:r>
        <w:rPr>
          <w:rFonts w:ascii="Arial" w:hAnsi="Arial"/>
          <w:sz w:val="22"/>
        </w:rPr>
        <w:t>/</w:t>
      </w:r>
      <w:r>
        <w:rPr>
          <w:rFonts w:ascii="Consolas" w:hAnsi="Consolas"/>
          <w:rFonts w:ascii="Consolas" w:hAnsi="Consolas"/>
          <w:sz w:val="20"/>
        </w:rPr>
        <w:t>dbo</w:t>
      </w:r>
      <w:r>
        <w:rPr>
          <w:rFonts w:ascii="Arial" w:hAnsi="Arial"/>
          <w:sz w:val="22"/>
        </w:rPr>
        <w:t xml:space="preserve">, not a newly discovered weakness. Neither </w:t>
      </w:r>
      <w:r>
        <w:rPr>
          <w:rFonts w:ascii="Consolas" w:hAnsi="Consolas"/>
          <w:rFonts w:ascii="Consolas" w:hAnsi="Consolas"/>
          <w:sz w:val="20"/>
        </w:rPr>
        <w:t>vlms_owner</w:t>
      </w:r>
      <w:r>
        <w:rPr>
          <w:rFonts w:ascii="Arial" w:hAnsi="Arial"/>
          <w:sz w:val="22"/>
        </w:rPr>
        <w:t xml:space="preserve"> nor </w:t>
      </w:r>
      <w:r>
        <w:rPr>
          <w:rFonts w:ascii="Consolas" w:hAnsi="Consolas"/>
          <w:rFonts w:ascii="Consolas" w:hAnsi="Consolas"/>
          <w:sz w:val="20"/>
        </w:rPr>
        <w:t>vlms_app</w:t>
      </w:r>
      <w:r>
        <w:rPr>
          <w:rFonts w:ascii="Arial" w:hAnsi="Arial"/>
          <w:sz w:val="22"/>
        </w:rPr>
        <w:t xml:space="preserve"> is created with </w:t>
      </w:r>
      <w:r>
        <w:rPr>
          <w:rFonts w:ascii="Consolas" w:hAnsi="Consolas"/>
          <w:rFonts w:ascii="Consolas" w:hAnsi="Consolas"/>
          <w:sz w:val="20"/>
        </w:rPr>
        <w:t>SUPERUSER</w:t>
      </w:r>
      <w:r>
        <w:rPr>
          <w:rFonts w:ascii="Arial" w:hAnsi="Arial"/>
          <w:sz w:val="22"/>
        </w:rPr>
        <w:t xml:space="preserve"> or </w:t>
      </w:r>
      <w:r>
        <w:rPr>
          <w:rFonts w:ascii="Consolas" w:hAnsi="Consolas"/>
          <w:rFonts w:ascii="Consolas" w:hAnsi="Consolas"/>
          <w:sz w:val="20"/>
        </w:rPr>
        <w:t>BYPASSRLS</w:t>
      </w:r>
      <w:r>
        <w:rPr>
          <w:rFonts w:ascii="Arial" w:hAnsi="Arial"/>
          <w:sz w:val="22"/>
        </w:rPr>
        <w:t xml:space="preserve"> (</w:t>
      </w:r>
      <w:r>
        <w:rPr>
          <w:rFonts w:ascii="Consolas" w:hAnsi="Consolas"/>
          <w:rFonts w:ascii="Consolas" w:hAnsi="Consolas"/>
          <w:sz w:val="20"/>
        </w:rPr>
        <w:t>deploy/postgres/00-create-roles-and-database.sql</w:t>
      </w:r>
      <w:r>
        <w:rPr>
          <w:rFonts w:ascii="Arial" w:hAnsi="Arial"/>
          <w:sz w:val="22"/>
        </w:rPr>
        <w:t xml:space="preserve"> — both explicitly </w:t>
      </w:r>
      <w:r>
        <w:rPr>
          <w:rFonts w:ascii="Consolas" w:hAnsi="Consolas"/>
          <w:rFonts w:ascii="Consolas" w:hAnsi="Consolas"/>
          <w:sz w:val="20"/>
        </w:rPr>
        <w:t>NOSUPERUSER</w:t>
      </w:r>
      <w:r>
        <w:rPr>
          <w:rFonts w:ascii="Arial" w:hAnsi="Arial"/>
          <w:sz w:val="22"/>
        </w:rPr>
        <w:t xml:space="preserve">, and </w:t>
      </w:r>
      <w:r>
        <w:rPr>
          <w:rFonts w:ascii="Consolas" w:hAnsi="Consolas"/>
          <w:rFonts w:ascii="Consolas" w:hAnsi="Consolas"/>
          <w:sz w:val="20"/>
        </w:rPr>
        <w:t>BYPASSRLS</w:t>
      </w:r>
      <w:r>
        <w:rPr>
          <w:rFonts w:ascii="Arial" w:hAnsi="Arial"/>
          <w:sz w:val="22"/>
        </w:rPr>
        <w:t xml:space="preserve"> defaults off and is never granted), so this residual does not apply to either role as currently provisioned. The least-privilege connection discipline below remains good practice and is still required (RLS does not make an over-privileged connection role safe by itself — it specifically means an over-privileged role granted </w:t>
      </w:r>
      <w:r>
        <w:rPr>
          <w:rFonts w:ascii="Consolas" w:hAnsi="Consolas"/>
          <w:rFonts w:ascii="Consolas" w:hAnsi="Consolas"/>
          <w:sz w:val="20"/>
        </w:rPr>
        <w:t>UPDATE</w:t>
      </w:r>
      <w:r>
        <w:rPr>
          <w:rFonts w:ascii="Arial" w:hAnsi="Arial"/>
          <w:sz w:val="22"/>
        </w:rPr>
        <w:t>/</w:t>
      </w:r>
      <w:r>
        <w:rPr>
          <w:rFonts w:ascii="Consolas" w:hAnsi="Consolas"/>
          <w:rFonts w:ascii="Consolas" w:hAnsi="Consolas"/>
          <w:sz w:val="20"/>
        </w:rPr>
        <w:t>DELETE</w:t>
      </w:r>
      <w:r>
        <w:rPr>
          <w:rFonts w:ascii="Arial" w:hAnsi="Arial"/>
          <w:sz w:val="22"/>
        </w:rPr>
        <w:t xml:space="preserve"> directly can still be blocked by RLS, but a role connected as a superuser bypasses everything, RLS included), but "never issue </w:t>
      </w:r>
      <w:r>
        <w:rPr>
          <w:rFonts w:ascii="Consolas" w:hAnsi="Consolas"/>
          <w:rFonts w:ascii="Consolas" w:hAnsi="Consolas"/>
          <w:sz w:val="20"/>
        </w:rPr>
        <w:t>GRANT UPDATE</w:t>
      </w:r>
      <w:r>
        <w:rPr>
          <w:rFonts w:ascii="Arial" w:hAnsi="Arial"/>
          <w:sz w:val="22"/>
        </w:rPr>
        <w:t>/</w:t>
      </w:r>
      <w:r>
        <w:rPr>
          <w:rFonts w:ascii="Consolas" w:hAnsi="Consolas"/>
          <w:rFonts w:ascii="Consolas" w:hAnsi="Consolas"/>
          <w:sz w:val="20"/>
        </w:rPr>
        <w:t>GRANT DELETE</w:t>
      </w:r>
      <w:r>
        <w:rPr>
          <w:rFonts w:ascii="Arial" w:hAnsi="Arial"/>
          <w:sz w:val="22"/>
        </w:rPr>
        <w:t xml:space="preserve"> on this table to the app's role" is no longer the sole backstop the way it was between pass 6 and pass 8. Relatedly, any future retention-purge job for </w:t>
      </w:r>
      <w:r>
        <w:rPr>
          <w:rFonts w:ascii="Consolas" w:hAnsi="Consolas"/>
          <w:rFonts w:ascii="Consolas" w:hAnsi="Consolas"/>
          <w:sz w:val="20"/>
        </w:rPr>
        <w:t>SensitiveDataAccessLog</w:t>
      </w:r>
      <w:r>
        <w:rPr>
          <w:rFonts w:ascii="Arial" w:hAnsi="Arial"/>
          <w:sz w:val="22"/>
        </w:rPr>
        <w:t xml:space="preserve"> (the separate 6-year retention concern) must now run as a genuine superuser or </w:t>
      </w:r>
      <w:r>
        <w:rPr>
          <w:rFonts w:ascii="Consolas" w:hAnsi="Consolas"/>
          <w:rFonts w:ascii="Consolas" w:hAnsi="Consolas"/>
          <w:sz w:val="20"/>
        </w:rPr>
        <w:t>BYPASSRLS</w:t>
      </w:r>
      <w:r>
        <w:rPr>
          <w:rFonts w:ascii="Arial" w:hAnsi="Arial"/>
          <w:sz w:val="22"/>
        </w:rPr>
        <w:t xml:space="preserve"> role specifically — not merely "an elevated role," since an ordinary elevated role with a direct </w:t>
      </w:r>
      <w:r>
        <w:rPr>
          <w:rFonts w:ascii="Consolas" w:hAnsi="Consolas"/>
          <w:rFonts w:ascii="Consolas" w:hAnsi="Consolas"/>
          <w:sz w:val="20"/>
        </w:rPr>
        <w:t>GRANT DELETE</w:t>
      </w:r>
      <w:r>
        <w:rPr>
          <w:rFonts w:ascii="Arial" w:hAnsi="Arial"/>
          <w:sz w:val="22"/>
        </w:rPr>
        <w:t xml:space="preserve"> would still be blocked by RLS. </w:t>
      </w:r>
      <w:r>
        <w:rPr>
          <w:rFonts w:ascii="Arial" w:hAnsi="Arial"/>
          <w:b/>
          <w:sz w:val="22"/>
        </w:rPr>
        <w:t>Owner: Philip. Due: before go-live</w:t>
      </w:r>
      <w:r>
        <w:rPr>
          <w:rFonts w:ascii="Arial" w:hAnsi="Arial"/>
          <w:sz w:val="22"/>
        </w:rPr>
        <w:t xml:space="preserve"> (a deployment/operations-readiness check, per </w:t>
      </w:r>
      <w:r>
        <w:rPr>
          <w:rFonts w:ascii="Consolas" w:hAnsi="Consolas"/>
          <w:rFonts w:ascii="Consolas" w:hAnsi="Consolas"/>
          <w:sz w:val="20"/>
        </w:rPr>
        <w:t>delivery-plan.md</w:t>
      </w:r>
      <w:r>
        <w:rPr>
          <w:rFonts w:ascii="Arial" w:hAnsi="Arial"/>
          <w:sz w:val="22"/>
        </w:rPr>
        <w:t xml:space="preserve"> Phase 3) — this update closes the design gap; the operational verification step in </w:t>
      </w:r>
      <w:r>
        <w:rPr>
          <w:rFonts w:ascii="Consolas" w:hAnsi="Consolas"/>
          <w:rFonts w:ascii="Consolas" w:hAnsi="Consolas"/>
          <w:sz w:val="20"/>
        </w:rPr>
        <w:t>deploy/README.md</w:t>
      </w:r>
      <w:r>
        <w:rPr>
          <w:rFonts w:ascii="Arial" w:hAnsi="Arial"/>
          <w:sz w:val="22"/>
        </w:rPr>
        <w:t xml:space="preserve"> (a live </w:t>
      </w:r>
      <w:r>
        <w:rPr>
          <w:rFonts w:ascii="Consolas" w:hAnsi="Consolas"/>
          <w:rFonts w:ascii="Consolas" w:hAnsi="Consolas"/>
          <w:sz w:val="20"/>
        </w:rPr>
        <w:t>UPDATE</w:t>
      </w:r>
      <w:r>
        <w:rPr>
          <w:rFonts w:ascii="Arial" w:hAnsi="Arial"/>
          <w:sz w:val="22"/>
        </w:rPr>
        <w:t xml:space="preserve"> as </w:t>
      </w:r>
      <w:r>
        <w:rPr>
          <w:rFonts w:ascii="Consolas" w:hAnsi="Consolas"/>
          <w:rFonts w:ascii="Consolas" w:hAnsi="Consolas"/>
          <w:sz w:val="20"/>
        </w:rPr>
        <w:t>vlms_app</w:t>
      </w:r>
      <w:r>
        <w:rPr>
          <w:rFonts w:ascii="Arial" w:hAnsi="Arial"/>
          <w:sz w:val="22"/>
        </w:rPr>
        <w:t xml:space="preserve"> must fail) still needs to be run against a real deployed server, which has not happened yet (no live PostgreSQL server exists for this project as of this pass). See </w:t>
      </w:r>
      <w:r>
        <w:rPr>
          <w:rFonts w:ascii="Consolas" w:hAnsi="Consolas"/>
          <w:rFonts w:ascii="Consolas" w:hAnsi="Consolas"/>
          <w:sz w:val="20"/>
        </w:rPr>
        <w:t>adr/0004-sensitive-data-access-control.md</w:t>
      </w:r>
      <w:r>
        <w:rPr>
          <w:rFonts w:ascii="Arial" w:hAnsi="Arial"/>
          <w:sz w:val="22"/>
        </w:rPr>
        <w:t xml:space="preserve"> §4/§6, </w:t>
      </w:r>
      <w:r>
        <w:rPr>
          <w:rFonts w:ascii="Consolas" w:hAnsi="Consolas"/>
          <w:rFonts w:ascii="Consolas" w:hAnsi="Consolas"/>
          <w:sz w:val="20"/>
        </w:rPr>
        <w:t>adr/0005-hosting-pivot-self-hosted-vps-postgresql.md</w:t>
      </w:r>
      <w:r>
        <w:rPr>
          <w:rFonts w:ascii="Arial" w:hAnsi="Arial"/>
          <w:sz w:val="22"/>
        </w:rPr>
        <w:t>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No [TBC] markers in the source markdown at this gate.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RAID Log and Risk Register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