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Requirements Traceability Matrix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– Delivery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Requirements Traceability Matrix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VLMS-RTM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(complete)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docs/quality/traceability.md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edition, rendered from docs/ working markdown (supersedes design gate edition where one exists).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Standards and Conformance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This document satisfies or is consistent with: ISO/IEC/IEEE 29148:2018 (requirements engineering).</w:t>
      </w:r>
    </w:p>
    <w:p>
      <w:pPr>
        <w:spacing w:after="120" w:before="0"/>
      </w:pPr>
      <w:r>
        <w:rPr>
          <w:rFonts w:ascii="Arial" w:hAnsi="Arial"/>
          <w:b w:val="0"/>
          <w:i/>
          <w:sz w:val="20"/>
        </w:rPr>
        <w:t>Generated from the working markdown listed in Related documents; the markdown is authoritative. Status of source material is reproduced as written in each source.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Requirements Traceability Matrix</w:t>
      </w:r>
    </w:p>
    <w:p>
      <w:pPr>
        <w:spacing w:after="80"/>
      </w:pPr>
      <w:r>
        <w:rPr>
          <w:rFonts w:ascii="Arial" w:hAnsi="Arial"/>
          <w:sz w:val="22"/>
        </w:rPr>
        <w:t xml:space="preserve">Status: delivery gate, completeness check 13/10/2026. Status values: </w:t>
      </w:r>
      <w:r>
        <w:rPr>
          <w:rFonts w:ascii="Arial" w:hAnsi="Arial"/>
          <w:b/>
          <w:sz w:val="22"/>
        </w:rPr>
        <w:t>Verified (automated)</w:t>
      </w:r>
      <w:r>
        <w:rPr>
          <w:rFonts w:ascii="Arial" w:hAnsi="Arial"/>
          <w:sz w:val="22"/>
        </w:rPr>
        <w:t xml:space="preserve"> = built and passing in </w:t>
      </w:r>
      <w:r>
        <w:rPr>
          <w:rFonts w:ascii="Consolas" w:hAnsi="Consolas"/>
          <w:rFonts w:ascii="Consolas" w:hAnsi="Consolas"/>
          <w:sz w:val="20"/>
        </w:rPr>
        <w:t>build/verify.ps1</w:t>
      </w:r>
      <w:r>
        <w:rPr>
          <w:rFonts w:ascii="Arial" w:hAnsi="Arial"/>
          <w:sz w:val="22"/>
        </w:rPr>
        <w:t xml:space="preserve">, manual UAT pending; </w:t>
      </w:r>
      <w:r>
        <w:rPr>
          <w:rFonts w:ascii="Arial" w:hAnsi="Arial"/>
          <w:b/>
          <w:sz w:val="22"/>
        </w:rPr>
        <w:t>Partial</w:t>
      </w:r>
      <w:r>
        <w:rPr>
          <w:rFonts w:ascii="Arial" w:hAnsi="Arial"/>
          <w:sz w:val="22"/>
        </w:rPr>
        <w:t xml:space="preserve"> = some of the requirement is not built; </w:t>
      </w:r>
      <w:r>
        <w:rPr>
          <w:rFonts w:ascii="Arial" w:hAnsi="Arial"/>
          <w:b/>
          <w:sz w:val="22"/>
        </w:rPr>
        <w:t>Pending go-live</w:t>
      </w:r>
      <w:r>
        <w:rPr>
          <w:rFonts w:ascii="Arial" w:hAnsi="Arial"/>
          <w:sz w:val="22"/>
        </w:rPr>
        <w:t xml:space="preserve"> = can only be checked on the production host.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11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BR</w:t>
            </w:r>
          </w:p>
        </w:tc>
        <w:tc>
          <w:tcPr>
            <w:tcW w:type="dxa" w:w="1997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FR/NFR area</w:t>
            </w:r>
          </w:p>
        </w:tc>
        <w:tc>
          <w:tcPr>
            <w:tcW w:type="dxa" w:w="1997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Design ref</w:t>
            </w:r>
          </w:p>
        </w:tc>
        <w:tc>
          <w:tcPr>
            <w:tcW w:type="dxa" w:w="1917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TC</w:t>
            </w:r>
          </w:p>
        </w:tc>
        <w:tc>
          <w:tcPr>
            <w:tcW w:type="dxa" w:w="1999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11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BR-001 Progress tracking</w:t>
            </w:r>
          </w:p>
        </w:tc>
        <w:tc>
          <w:tcPr>
            <w:tcW w:type="dxa" w:w="199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Lesson completion, auto-promotion (functional.md)</w:t>
            </w:r>
          </w:p>
        </w:tc>
        <w:tc>
          <w:tcPr>
            <w:tcW w:type="dxa" w:w="199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data-design.md (StudentLessonCompletion, StudentRankProgress), low-level-design.md (PromotionService)</w:t>
            </w:r>
          </w:p>
        </w:tc>
        <w:tc>
          <w:tcPr>
            <w:tcW w:type="dxa" w:w="191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TC-001, TC-003</w:t>
            </w:r>
          </w:p>
        </w:tc>
        <w:tc>
          <w:tcPr>
            <w:tcW w:type="dxa" w:w="199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Verified (automated)</w:t>
            </w:r>
          </w:p>
        </w:tc>
      </w:tr>
      <w:tr>
        <w:tc>
          <w:tcPr>
            <w:tcW w:type="dxa" w:w="111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BR-002 Curriculum management</w:t>
            </w:r>
          </w:p>
        </w:tc>
        <w:tc>
          <w:tcPr>
            <w:tcW w:type="dxa" w:w="199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Propose/approve/reject/resubmit (functional.md)</w:t>
            </w:r>
          </w:p>
        </w:tc>
        <w:tc>
          <w:tcPr>
            <w:tcW w:type="dxa" w:w="199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data-design.md (LessonChangeProposal), low-level-design.md (LessonProposalService)</w:t>
            </w:r>
          </w:p>
        </w:tc>
        <w:tc>
          <w:tcPr>
            <w:tcW w:type="dxa" w:w="191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TC-004, TC-005</w:t>
            </w:r>
          </w:p>
        </w:tc>
        <w:tc>
          <w:tcPr>
            <w:tcW w:type="dxa" w:w="199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Verified (automated)</w:t>
            </w:r>
          </w:p>
        </w:tc>
      </w:tr>
      <w:tr>
        <w:tc>
          <w:tcPr>
            <w:tcW w:type="dxa" w:w="111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BR-003 Safeguarding &amp; consent</w:t>
            </w:r>
          </w:p>
        </w:tc>
        <w:tc>
          <w:tcPr>
            <w:tcW w:type="dxa" w:w="199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Annual consent, DBS, expiry blocking, guardian-link verification (functional.md)</w:t>
            </w:r>
          </w:p>
        </w:tc>
        <w:tc>
          <w:tcPr>
            <w:tcW w:type="dxa" w:w="199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data-design.md (ConsentRecord, ConsentSensitiveDetails, DbsCheck, StudentGuardianLink), low-level-design.md (ConsentExpiryJob)</w:t>
            </w:r>
          </w:p>
        </w:tc>
        <w:tc>
          <w:tcPr>
            <w:tcW w:type="dxa" w:w="191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TC-002, TC-009, TC-012, TC-013, TC-014</w:t>
            </w:r>
          </w:p>
        </w:tc>
        <w:tc>
          <w:tcPr>
            <w:tcW w:type="dxa" w:w="199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Verified (automated); TC-014 live check pending go-live; retention purge not built</w:t>
            </w:r>
          </w:p>
        </w:tc>
      </w:tr>
      <w:tr>
        <w:tc>
          <w:tcPr>
            <w:tcW w:type="dxa" w:w="111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BR-004 Certificates &amp; badges</w:t>
            </w:r>
          </w:p>
        </w:tc>
        <w:tc>
          <w:tcPr>
            <w:tcW w:type="dxa" w:w="199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Auto-generated PDF, tracked badge records (functional.md)</w:t>
            </w:r>
          </w:p>
        </w:tc>
        <w:tc>
          <w:tcPr>
            <w:tcW w:type="dxa" w:w="199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data-design.md (Certificate, RankBadge, StudentBadge), low-level-design.md (CertificateService)</w:t>
            </w:r>
          </w:p>
        </w:tc>
        <w:tc>
          <w:tcPr>
            <w:tcW w:type="dxa" w:w="191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TC-001, TC-003</w:t>
            </w:r>
          </w:p>
        </w:tc>
        <w:tc>
          <w:tcPr>
            <w:tcW w:type="dxa" w:w="199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Verified (automated)</w:t>
            </w:r>
          </w:p>
        </w:tc>
      </w:tr>
      <w:tr>
        <w:tc>
          <w:tcPr>
            <w:tcW w:type="dxa" w:w="111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BR-005 Parent engagement</w:t>
            </w:r>
          </w:p>
        </w:tc>
        <w:tc>
          <w:tcPr>
            <w:tcW w:type="dxa" w:w="199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Dashboard + notifications (functional.md)</w:t>
            </w:r>
          </w:p>
        </w:tc>
        <w:tc>
          <w:tcPr>
            <w:tcW w:type="dxa" w:w="199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low-level-design.md (NotificationService)</w:t>
            </w:r>
          </w:p>
        </w:tc>
        <w:tc>
          <w:tcPr>
            <w:tcW w:type="dxa" w:w="191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TC-006, TC-013</w:t>
            </w:r>
          </w:p>
        </w:tc>
        <w:tc>
          <w:tcPr>
            <w:tcW w:type="dxa" w:w="199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Partial: dashboard built and tested; proactive parent emails (completion, promotion, consent-expiry reminder) not built. Only Admin/SO receive the expiry digest (ConsentExpiryNotifier)</w:t>
            </w:r>
          </w:p>
        </w:tc>
      </w:tr>
      <w:tr>
        <w:tc>
          <w:tcPr>
            <w:tcW w:type="dxa" w:w="111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BR-006 Reporting</w:t>
            </w:r>
          </w:p>
        </w:tc>
        <w:tc>
          <w:tcPr>
            <w:tcW w:type="dxa" w:w="199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Core reports + at-risk flagging (functional.md)</w:t>
            </w:r>
          </w:p>
        </w:tc>
        <w:tc>
          <w:tcPr>
            <w:tcW w:type="dxa" w:w="199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low-level-design.md (ConsentExpiryJob at-risk sweep)</w:t>
            </w:r>
          </w:p>
        </w:tc>
        <w:tc>
          <w:tcPr>
            <w:tcW w:type="dxa" w:w="191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TC-010</w:t>
            </w:r>
          </w:p>
        </w:tc>
        <w:tc>
          <w:tcPr>
            <w:tcW w:type="dxa" w:w="199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Verified (automated)</w:t>
            </w:r>
          </w:p>
        </w:tc>
      </w:tr>
      <w:tr>
        <w:tc>
          <w:tcPr>
            <w:tcW w:type="dxa" w:w="111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NFR-001 Access control / PII</w:t>
            </w:r>
          </w:p>
        </w:tc>
        <w:tc>
          <w:tcPr>
            <w:tcW w:type="dxa" w:w="199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Role-based + resource-based authorization, DBS/consent-sensitive-detail whole-entity restriction, read audit log (non-functional.md, governance/security-compliance.md)</w:t>
            </w:r>
          </w:p>
        </w:tc>
        <w:tc>
          <w:tcPr>
            <w:tcW w:type="dxa" w:w="199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low-level-design.md (authorization model), adr/0002, adr/0004</w:t>
            </w:r>
          </w:p>
        </w:tc>
        <w:tc>
          <w:tcPr>
            <w:tcW w:type="dxa" w:w="191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TC-006, TC-007, TC-008, TC-011, TC-014</w:t>
            </w:r>
          </w:p>
        </w:tc>
        <w:tc>
          <w:tcPr>
            <w:tcW w:type="dxa" w:w="199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Verified (automated) + ASVS 5.0 V8 gate stage; countersign pending</w:t>
            </w:r>
          </w:p>
        </w:tc>
      </w:tr>
      <w:tr>
        <w:tc>
          <w:tcPr>
            <w:tcW w:type="dxa" w:w="111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NFR-002 Accessibility</w:t>
            </w:r>
          </w:p>
        </w:tc>
        <w:tc>
          <w:tcPr>
            <w:tcW w:type="dxa" w:w="199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WCAG 2.2 AA (non-functional.md)</w:t>
            </w:r>
          </w:p>
        </w:tc>
        <w:tc>
          <w:tcPr>
            <w:tcW w:type="dxa" w:w="199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— (applies across UI)</w:t>
            </w:r>
          </w:p>
        </w:tc>
        <w:tc>
          <w:tcPr>
            <w:tcW w:type="dxa" w:w="191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WCAG gate stage; quality/wcag-2.2-aa-checklist.md; UAT-15</w:t>
            </w:r>
          </w:p>
        </w:tc>
        <w:tc>
          <w:tcPr>
            <w:tcW w:type="dxa" w:w="199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Partial: colour contrast (1.4.3/1.4.11) open pending branding</w:t>
            </w:r>
          </w:p>
        </w:tc>
      </w:tr>
      <w:tr>
        <w:tc>
          <w:tcPr>
            <w:tcW w:type="dxa" w:w="111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NFR-003 Availability</w:t>
            </w:r>
          </w:p>
        </w:tc>
        <w:tc>
          <w:tcPr>
            <w:tcW w:type="dxa" w:w="199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Best-effort (non-functional.md)</w:t>
            </w:r>
          </w:p>
        </w:tc>
        <w:tc>
          <w:tcPr>
            <w:tcW w:type="dxa" w:w="199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adr/0005-hosting-pivot-self-hosted-vps-postgresql.md (single VPS); operations/dr-bcp.md</w:t>
            </w:r>
          </w:p>
        </w:tc>
        <w:tc>
          <w:tcPr>
            <w:tcW w:type="dxa" w:w="1917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999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Accepted, not test-gated; RPO/RTO stated in operations/dr-bcp.md §1</w:t>
            </w:r>
          </w:p>
        </w:tc>
      </w:tr>
      <w:tr>
        <w:tc>
          <w:tcPr>
            <w:tcW w:type="dxa" w:w="111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NFR-004 Compatibility</w:t>
            </w:r>
          </w:p>
        </w:tc>
        <w:tc>
          <w:tcPr>
            <w:tcW w:type="dxa" w:w="199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Named browser/OS/PWA target (non-functional.md)</w:t>
            </w:r>
          </w:p>
        </w:tc>
        <w:tc>
          <w:tcPr>
            <w:tcW w:type="dxa" w:w="199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adr/0001-technology-stack.md (Blazor)</w:t>
            </w:r>
          </w:p>
        </w:tc>
        <w:tc>
          <w:tcPr>
            <w:tcW w:type="dxa" w:w="1917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UAT (phone + desktop)</w:t>
            </w:r>
          </w:p>
        </w:tc>
        <w:tc>
          <w:tcPr>
            <w:tcW w:type="dxa" w:w="1999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Pending UAT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hAnsi="Arial"/>
          <w:sz w:val="22"/>
        </w:rPr>
        <w:t xml:space="preserve">Note: </w:t>
      </w:r>
      <w:r>
        <w:rPr>
          <w:rFonts w:ascii="Consolas" w:hAnsi="Consolas"/>
          <w:rFonts w:ascii="Consolas" w:hAnsi="Consolas"/>
          <w:sz w:val="20"/>
        </w:rPr>
        <w:t>BR-nnn</w:t>
      </w:r>
      <w:r>
        <w:rPr>
          <w:rFonts w:ascii="Arial" w:hAnsi="Arial"/>
          <w:sz w:val="22"/>
        </w:rPr>
        <w:t xml:space="preserve"> identifiers here are provisional groupings assigned during design to enable traceability; formalise as discrete numbered BR-nnn/FR-nnn entries in </w:t>
      </w:r>
      <w:r>
        <w:rPr>
          <w:rFonts w:ascii="Consolas" w:hAnsi="Consolas"/>
          <w:rFonts w:ascii="Consolas" w:hAnsi="Consolas"/>
          <w:sz w:val="20"/>
        </w:rPr>
        <w:t>requirements/business-requirements.md</w:t>
      </w:r>
      <w:r>
        <w:rPr>
          <w:rFonts w:ascii="Arial" w:hAnsi="Arial"/>
          <w:sz w:val="22"/>
        </w:rPr>
        <w:t xml:space="preserve"> / </w:t>
      </w:r>
      <w:r>
        <w:rPr>
          <w:rFonts w:ascii="Consolas" w:hAnsi="Consolas"/>
          <w:rFonts w:ascii="Consolas" w:hAnsi="Consolas"/>
          <w:sz w:val="20"/>
        </w:rPr>
        <w:t>functional.md</w:t>
      </w:r>
      <w:r>
        <w:rPr>
          <w:rFonts w:ascii="Arial" w:hAnsi="Arial"/>
          <w:sz w:val="22"/>
        </w:rPr>
        <w:t xml:space="preserve"> if finer-grained tracking is needed before build.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FR-level trace (safeguarding &amp; consent)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483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FR</w:t>
            </w:r>
          </w:p>
        </w:tc>
        <w:tc>
          <w:tcPr>
            <w:tcW w:type="dxa" w:w="2483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Built in</w:t>
            </w:r>
          </w:p>
        </w:tc>
        <w:tc>
          <w:tcPr>
            <w:tcW w:type="dxa" w:w="15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TC</w:t>
            </w:r>
          </w:p>
        </w:tc>
        <w:tc>
          <w:tcPr>
            <w:tcW w:type="dxa" w:w="2484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83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FR-001 Annual consent record, approved by SO/Admin only</w:t>
            </w:r>
          </w:p>
        </w:tc>
        <w:tc>
          <w:tcPr>
            <w:tcW w:type="dxa" w:w="2483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ConsentRecordService</w:t>
            </w:r>
          </w:p>
        </w:tc>
        <w:tc>
          <w:tcPr>
            <w:tcW w:type="dxa" w:w="15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TC-008 (ConsentRecordServiceTests)</w:t>
            </w:r>
          </w:p>
        </w:tc>
        <w:tc>
          <w:tcPr>
            <w:tcW w:type="dxa" w:w="2484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Verified (automated)</w:t>
            </w:r>
          </w:p>
        </w:tc>
      </w:tr>
      <w:tr>
        <w:tc>
          <w:tcPr>
            <w:tcW w:type="dxa" w:w="2483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FR-002 DBS tracking, Admin/SO only</w:t>
            </w:r>
          </w:p>
        </w:tc>
        <w:tc>
          <w:tcPr>
            <w:tcW w:type="dxa" w:w="2483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DbsCheckService, query filters</w:t>
            </w:r>
          </w:p>
        </w:tc>
        <w:tc>
          <w:tcPr>
            <w:tcW w:type="dxa" w:w="157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TC-007, TC-008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Verified (automated)</w:t>
            </w:r>
          </w:p>
        </w:tc>
      </w:tr>
      <w:tr>
        <w:tc>
          <w:tcPr>
            <w:tcW w:type="dxa" w:w="2483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FR-003 Expiry monitoring, escalating alerts, expired consent blocks completion</w:t>
            </w:r>
          </w:p>
        </w:tc>
        <w:tc>
          <w:tcPr>
            <w:tcW w:type="dxa" w:w="2483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ConsentExpiryJob, ConsentExpiryNotifier, CompletionService</w:t>
            </w:r>
          </w:p>
        </w:tc>
        <w:tc>
          <w:tcPr>
            <w:tcW w:type="dxa" w:w="15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TC-002, TC-009, TC-013</w:t>
            </w:r>
          </w:p>
        </w:tc>
        <w:tc>
          <w:tcPr>
            <w:tcW w:type="dxa" w:w="2484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Verified (automated); escalation reaches Admin/SO by email and log, alert route for failures [TBC – Philip]</w:t>
            </w:r>
          </w:p>
        </w:tc>
      </w:tr>
      <w:tr>
        <w:tc>
          <w:tcPr>
            <w:tcW w:type="dxa" w:w="2483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FR-004 Guardian link by Admin/Teacher only; invite grants no role</w:t>
            </w:r>
          </w:p>
        </w:tc>
        <w:tc>
          <w:tcPr>
            <w:tcW w:type="dxa" w:w="2483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GuardianLinkService, StudentRegistrationService, RoleAssignmentService</w:t>
            </w:r>
          </w:p>
        </w:tc>
        <w:tc>
          <w:tcPr>
            <w:tcW w:type="dxa" w:w="157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TC-012</w:t>
            </w:r>
          </w:p>
        </w:tc>
        <w:tc>
          <w:tcPr>
            <w:tcW w:type="dxa" w:w="248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Verified (automated)</w:t>
            </w:r>
          </w:p>
        </w:tc>
      </w:tr>
      <w:tr>
        <w:tc>
          <w:tcPr>
            <w:tcW w:type="dxa" w:w="2483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FR-005 Every sensitive read audit-logged</w:t>
            </w:r>
          </w:p>
        </w:tc>
        <w:tc>
          <w:tcPr>
            <w:tcW w:type="dxa" w:w="2483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IMaterializationInterceptor audit</w:t>
            </w:r>
          </w:p>
        </w:tc>
        <w:tc>
          <w:tcPr>
            <w:tcW w:type="dxa" w:w="15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TC-011, TC-014</w:t>
            </w:r>
          </w:p>
        </w:tc>
        <w:tc>
          <w:tcPr>
            <w:tcW w:type="dxa" w:w="2484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Verified (automated); TC-014 live check pending go-live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Completeness check (13/10/2026)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Every BR and NFR row has a design reference and either a TC or an explicit "not test-gated" reason. Every TC-001…TC-014 traces back to at least one row.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Gaps found:</w:t>
      </w:r>
    </w:p>
    <w:p>
      <w:pPr>
        <w:spacing w:after="40"/>
        <w:ind w:left="1080" w:hanging="360"/>
      </w:pPr>
      <w:r>
        <w:rPr>
          <w:rFonts w:ascii="Arial" w:hAnsi="Arial"/>
          <w:sz w:val="22"/>
        </w:rPr>
        <w:t xml:space="preserve">1.  </w:t>
      </w:r>
      <w:r>
        <w:rPr>
          <w:rFonts w:ascii="Arial" w:hAnsi="Arial"/>
          <w:b/>
          <w:sz w:val="22"/>
        </w:rPr>
        <w:t>BR-005 proactive parent notifications not built.</w:t>
      </w:r>
      <w:r>
        <w:rPr>
          <w:rFonts w:ascii="Arial" w:hAnsi="Arial"/>
          <w:sz w:val="22"/>
        </w:rPr>
        <w:t xml:space="preserve"> </w:t>
      </w:r>
      <w:r>
        <w:rPr>
          <w:rFonts w:ascii="Consolas" w:hAnsi="Consolas"/>
          <w:rFonts w:ascii="Consolas" w:hAnsi="Consolas"/>
          <w:sz w:val="20"/>
        </w:rPr>
        <w:t>functional.md</w:t>
      </w:r>
      <w:r>
        <w:rPr>
          <w:rFonts w:ascii="Arial" w:hAnsi="Arial"/>
          <w:sz w:val="22"/>
        </w:rPr>
        <w:t xml:space="preserve"> (Parent engagement) asks for email on lesson completion and rank promotion, and consent-expiry reminders; no code sends these to parents. No TC covers them. Needs a build item, or a recorded decision to defer </w:t>
      </w:r>
      <w:r>
        <w:rPr>
          <w:rFonts w:ascii="Consolas" w:hAnsi="Consolas"/>
          <w:rFonts w:ascii="Consolas" w:hAnsi="Consolas"/>
          <w:sz w:val="20"/>
        </w:rPr>
        <w:t>[TBC – Philip]</w:t>
      </w:r>
      <w:r>
        <w:rPr>
          <w:rFonts w:ascii="Arial" w:hAnsi="Arial"/>
          <w:sz w:val="22"/>
        </w:rPr>
        <w:t>.</w:t>
      </w:r>
    </w:p>
    <w:p>
      <w:pPr>
        <w:spacing w:after="40"/>
        <w:ind w:left="1080" w:hanging="360"/>
      </w:pPr>
      <w:r>
        <w:rPr>
          <w:rFonts w:ascii="Arial" w:hAnsi="Arial"/>
          <w:sz w:val="22"/>
        </w:rPr>
        <w:t xml:space="preserve">2.  </w:t>
      </w:r>
      <w:r>
        <w:rPr>
          <w:rFonts w:ascii="Arial" w:hAnsi="Arial"/>
          <w:b/>
          <w:sz w:val="22"/>
        </w:rPr>
        <w:t>Retention purge not built</w:t>
      </w:r>
      <w:r>
        <w:rPr>
          <w:rFonts w:ascii="Arial" w:hAnsi="Arial"/>
          <w:sz w:val="22"/>
        </w:rPr>
        <w:t xml:space="preserve"> (BR-003; </w:t>
      </w:r>
      <w:r>
        <w:rPr>
          <w:rFonts w:ascii="Consolas" w:hAnsi="Consolas"/>
          <w:rFonts w:ascii="Consolas" w:hAnsi="Consolas"/>
          <w:sz w:val="20"/>
        </w:rPr>
        <w:t>STATE.md</w:t>
      </w:r>
      <w:r>
        <w:rPr>
          <w:rFonts w:ascii="Arial" w:hAnsi="Arial"/>
          <w:sz w:val="22"/>
        </w:rPr>
        <w:t xml:space="preserve"> Blocked).</w:t>
      </w:r>
    </w:p>
    <w:p>
      <w:pPr>
        <w:spacing w:after="40"/>
        <w:ind w:left="1080" w:hanging="360"/>
      </w:pPr>
      <w:r>
        <w:rPr>
          <w:rFonts w:ascii="Arial" w:hAnsi="Arial"/>
          <w:sz w:val="22"/>
        </w:rPr>
        <w:t xml:space="preserve">3.  </w:t>
      </w:r>
      <w:r>
        <w:rPr>
          <w:rFonts w:ascii="Arial" w:hAnsi="Arial"/>
          <w:b/>
          <w:sz w:val="22"/>
        </w:rPr>
        <w:t>Narrative requirements without FR numbers</w:t>
      </w:r>
      <w:r>
        <w:rPr>
          <w:rFonts w:ascii="Arial" w:hAnsi="Arial"/>
          <w:sz w:val="22"/>
        </w:rPr>
        <w:t xml:space="preserve"> (curriculum, progress, parent, reporting) are traced at BR level only, as the note below allows.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Assumptions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Assumptions are tracked as A-nnn entries in the RAID log (VLMS-RAID / docs/governance/raid.md). Source-specific assumptions are stated in the sections above.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Open Questions and [TBC] Gaps</w:t>
      </w:r>
    </w:p>
    <w:p>
      <w:pPr>
        <w:spacing w:after="120" w:before="0"/>
      </w:pPr>
      <w:r>
        <w:rPr>
          <w:rFonts w:ascii="Arial" w:hAnsi="Arial"/>
          <w:b w:val="0"/>
          <w:i w:val="0"/>
          <w:sz w:val="20"/>
        </w:rPr>
        <w:t>Items below are carried from the source markdown (the containing line or table cell).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Verified (automated); escalation reaches Admin/SO by email and log, alert route for failures [TBC – Philip]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1. BR-005 proactive parent notifications not built. functional.md (Parent engagement) asks for email on lesson completion and rank promotion, and consent-expiry reminders; no code sends these to parents. No TC covers them. Needs a build item, or a recorded decision to defer [TBC – Philip].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Glossary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Terms are defined in the VLMS Glossary (VLMS-GLOS / docs/glossary.md).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Requirements Traceability Matrix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