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Solution Design and Architecture (HLD)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Solution Design and Architecture (HLD)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VLMS-SDA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(elaborated)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docs/design/architecture.md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42010:2022 (architecture description) with C4/arc42.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Architecture (HLD)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spacing w:after="80"/>
      </w:pPr>
      <w:r>
        <w:rPr>
          <w:rFonts w:ascii="Arial" w:hAnsi="Arial"/>
          <w:sz w:val="22"/>
        </w:rPr>
        <w:t xml:space="preserve">Per ISO/IEC/IEEE 42010:2022, this describes the system from the perspective of two stakeholders/concerns: the solo developer (buildability, low ops burden) and the safeguarding/data-protection concern (who can reach what data). Decision record: </w:t>
      </w:r>
      <w:r>
        <w:rPr>
          <w:rFonts w:ascii="Consolas" w:hAnsi="Consolas"/>
          <w:rFonts w:ascii="Consolas" w:hAnsi="Consolas"/>
          <w:sz w:val="20"/>
        </w:rPr>
        <w:t>adr/0001-technology-stack.md</w:t>
      </w:r>
      <w:r>
        <w:rPr>
          <w:rFonts w:ascii="Arial" w:hAnsi="Arial"/>
          <w:sz w:val="22"/>
        </w:rPr>
        <w:t xml:space="preserve">, as amended by </w:t>
      </w:r>
      <w:r>
        <w:rPr>
          <w:rFonts w:ascii="Consolas" w:hAnsi="Consolas"/>
          <w:rFonts w:ascii="Consolas" w:hAnsi="Consolas"/>
          <w:sz w:val="20"/>
        </w:rPr>
        <w:t>adr/0005-hosting-pivot-self-hosted-vps-postgresql.md</w:t>
      </w:r>
      <w:r>
        <w:rPr>
          <w:rFonts w:ascii="Arial" w:hAnsi="Arial"/>
          <w:sz w:val="22"/>
        </w:rPr>
        <w:t xml:space="preserve"> (hosting, database, identity, file storage, and email all moved off Azure/Entra to a self-hosted Linux VPS — see that ADR for the cost-driven rationale).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C4: System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6F7F9"/>
            <w:tcBorders>
              <w:left w:val="single" w:sz="24" w:color="9CA3AF"/>
              <w:top w:val="single" w:sz="6" w:color="9CA3AF"/>
              <w:bottom w:val="single" w:sz="6" w:color="9CA3AF"/>
              <w:right w:val="single" w:sz="6" w:color="9CA3AF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┌─────────────────────────────────────────┐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│              VLMS (Blazor Web App)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Teacher   ───────►│  - Lesson browsing &amp; completion marking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Approver  ───────►│  - Content proposal / approval queue     │◄─── Self-rolled ASP.NET Core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Parent    ───────►│  - Progress dashboards, consent forms     │      Identity (sign-in, TOTP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Student   ───────►│  - Reporting                              │      MFA, signed invite links)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Safeg. Officer───►│  - Safeguarding/consent/DBS management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Admin     ───────►│                            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└───────────────┬───────────────┬───────────┘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│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┌──────────▼───┐   ┌───────▼────────┐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│ PostgreSQL   │   │ Local disk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│ (EF Core /   │   │ storage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│  Npgsql)     │   │ (lesson assets,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└──────────────┘   │ certificate PDFs)│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└────────┬────────┘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┌─────────▼─────────┐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│ Microsoft Graph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└─────────────────────┘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Web app, database, and local disk storage are all co-located on one self-hosted Linux VPS (Kestrel behind Caddy for automatic HTTPS) — see </w:t>
      </w:r>
      <w:r>
        <w:rPr>
          <w:rFonts w:ascii="Consolas" w:hAnsi="Consolas"/>
          <w:rFonts w:ascii="Consolas" w:hAnsi="Consolas"/>
          <w:sz w:val="20"/>
        </w:rPr>
        <w:t>deploy/</w:t>
      </w:r>
      <w:r>
        <w:rPr>
          <w:rFonts w:ascii="Arial" w:hAnsi="Arial"/>
          <w:sz w:val="22"/>
        </w:rPr>
        <w:t xml:space="preserve"> and </w:t>
      </w:r>
      <w:r>
        <w:rPr>
          <w:rFonts w:ascii="Consolas" w:hAnsi="Consolas"/>
          <w:rFonts w:ascii="Consolas" w:hAnsi="Consolas"/>
          <w:sz w:val="20"/>
        </w:rPr>
        <w:t>openwiki/architecture.md</w:t>
      </w:r>
      <w:r>
        <w:rPr>
          <w:rFonts w:ascii="Arial" w:hAnsi="Arial"/>
          <w:sz w:val="22"/>
        </w:rPr>
        <w:t xml:space="preserve"> for the as-built shape.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C4: Containers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Web app (Blazor Web App, .NET, Server interactivity, Kestrel behind Caddy on a self-hosted Linux VPS)</w:t>
      </w:r>
      <w:r>
        <w:rPr>
          <w:rFonts w:ascii="Arial" w:hAnsi="Arial"/>
          <w:sz w:val="22"/>
        </w:rPr>
        <w:t xml:space="preserve"> — the only user-facing container. Server-side rendering by default; interactive render mode where needed (e.g. live dashboards). Owns authorization (role checks) on top of self-rolled ASP.NET Core Identity authentication.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Database (self-hosted PostgreSQL, same VPS)</w:t>
      </w:r>
      <w:r>
        <w:rPr>
          <w:rFonts w:ascii="Arial" w:hAnsi="Arial"/>
          <w:sz w:val="22"/>
        </w:rPr>
        <w:t xml:space="preserve"> — system of record for all domain data (see </w:t>
      </w:r>
      <w:r>
        <w:rPr>
          <w:rFonts w:ascii="Consolas" w:hAnsi="Consolas"/>
          <w:rFonts w:ascii="Consolas" w:hAnsi="Consolas"/>
          <w:sz w:val="20"/>
        </w:rPr>
        <w:t>data-design.md</w:t>
      </w:r>
      <w:r>
        <w:rPr>
          <w:rFonts w:ascii="Arial" w:hAnsi="Arial"/>
          <w:sz w:val="22"/>
        </w:rPr>
        <w:t>). Accessed only via EF Core (Npgsql) from the web app; no other component talks to it directly.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File storage (local disk on the VPS, `LocalDiskBlobStorage`)</w:t>
      </w:r>
      <w:r>
        <w:rPr>
          <w:rFonts w:ascii="Arial" w:hAnsi="Arial"/>
          <w:sz w:val="22"/>
        </w:rPr>
        <w:t xml:space="preserve"> — lesson content assets (documents/images referenced by a Lesson) and generated certificate PDFs, under a configurable root directory; off-box backup to a free-tier S3-compatible store (provider still to be picked — </w:t>
      </w:r>
      <w:r>
        <w:rPr>
          <w:rFonts w:ascii="Consolas" w:hAnsi="Consolas"/>
          <w:rFonts w:ascii="Consolas" w:hAnsi="Consolas"/>
          <w:sz w:val="20"/>
        </w:rPr>
        <w:t>adr/0005</w:t>
      </w:r>
      <w:r>
        <w:rPr>
          <w:rFonts w:ascii="Arial" w:hAnsi="Arial"/>
          <w:sz w:val="22"/>
        </w:rPr>
        <w:t>). Referenced by blob key from PostgreSQL rows; access brokered through the web app (no public anonymous access, given safeguarding data proximity).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Background/scheduled work</w:t>
      </w:r>
      <w:r>
        <w:rPr>
          <w:rFonts w:ascii="Arial" w:hAnsi="Arial"/>
          <w:sz w:val="22"/>
        </w:rPr>
        <w:t xml:space="preserve"> — consent/DBS expiry monitoring and re-engagement checks run as </w:t>
      </w:r>
      <w:r>
        <w:rPr>
          <w:rFonts w:ascii="Consolas" w:hAnsi="Consolas"/>
          <w:rFonts w:ascii="Consolas" w:hAnsi="Consolas"/>
          <w:sz w:val="20"/>
        </w:rPr>
        <w:t>Vlms.Jobs</w:t>
      </w:r>
      <w:r>
        <w:rPr>
          <w:rFonts w:ascii="Arial" w:hAnsi="Arial"/>
          <w:sz w:val="22"/>
        </w:rPr>
        <w:t xml:space="preserve">, a plain console app invoked daily by a systemd timer on the same VPS — decided, see </w:t>
      </w:r>
      <w:r>
        <w:rPr>
          <w:rFonts w:ascii="Consolas" w:hAnsi="Consolas"/>
          <w:rFonts w:ascii="Consolas" w:hAnsi="Consolas"/>
          <w:sz w:val="20"/>
        </w:rPr>
        <w:t>adr/0003-scheduled-jobs-webjobs.md</w:t>
      </w:r>
      <w:r>
        <w:rPr>
          <w:rFonts w:ascii="Arial" w:hAnsi="Arial"/>
          <w:sz w:val="22"/>
        </w:rPr>
        <w:t xml:space="preserve"> as amended by </w:t>
      </w:r>
      <w:r>
        <w:rPr>
          <w:rFonts w:ascii="Consolas" w:hAnsi="Consolas"/>
          <w:rFonts w:ascii="Consolas" w:hAnsi="Consolas"/>
          <w:sz w:val="20"/>
        </w:rPr>
        <w:t>adr/0005-hosting-pivot-self-hosted-vps-postgresql.md</w:t>
      </w:r>
      <w:r>
        <w:rPr>
          <w:rFonts w:ascii="Arial" w:hAnsi="Arial"/>
          <w:sz w:val="22"/>
        </w:rPr>
        <w:t xml:space="preserve"> (this was an open "WebJob vs Azure Functions Timer" question at design gate; that question is now moot).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Email (Microsoft Graph `sendMail`, as `noreply@varangians.co.uk` in the church's Microsoft 365 tenant — `adr/0005` amendment)</w:t>
      </w:r>
      <w:r>
        <w:rPr>
          <w:rFonts w:ascii="Arial" w:hAnsi="Arial"/>
          <w:sz w:val="22"/>
        </w:rPr>
        <w:t xml:space="preserve"> — outbound-only; the web app and </w:t>
      </w:r>
      <w:r>
        <w:rPr>
          <w:rFonts w:ascii="Consolas" w:hAnsi="Consolas"/>
          <w:rFonts w:ascii="Consolas" w:hAnsi="Consolas"/>
          <w:sz w:val="20"/>
        </w:rPr>
        <w:t>Vlms.Jobs</w:t>
      </w:r>
      <w:r>
        <w:rPr>
          <w:rFonts w:ascii="Arial" w:hAnsi="Arial"/>
          <w:sz w:val="22"/>
        </w:rPr>
        <w:t xml:space="preserve"> call it synchronously for notification delivery. No inbound email handling in scope.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Identity (self-rolled ASP.NET Core Identity)</w:t>
      </w:r>
      <w:r>
        <w:rPr>
          <w:rFonts w:ascii="Arial" w:hAnsi="Arial"/>
          <w:sz w:val="22"/>
        </w:rPr>
        <w:t xml:space="preserve"> — no external tenant; the web app owns its own credential store (</w:t>
      </w:r>
      <w:r>
        <w:rPr>
          <w:rFonts w:ascii="Consolas" w:hAnsi="Consolas"/>
          <w:rFonts w:ascii="Consolas" w:hAnsi="Consolas"/>
          <w:sz w:val="20"/>
        </w:rPr>
        <w:t>VlmsIdentityUser</w:t>
      </w:r>
      <w:r>
        <w:rPr>
          <w:rFonts w:ascii="Arial" w:hAnsi="Arial"/>
          <w:sz w:val="22"/>
        </w:rPr>
        <w:t xml:space="preserve">, sharing </w:t>
      </w:r>
      <w:r>
        <w:rPr>
          <w:rFonts w:ascii="Consolas" w:hAnsi="Consolas"/>
          <w:rFonts w:ascii="Consolas" w:hAnsi="Consolas"/>
          <w:sz w:val="20"/>
        </w:rPr>
        <w:t>AppUser</w:t>
      </w:r>
      <w:r>
        <w:rPr>
          <w:rFonts w:ascii="Arial" w:hAnsi="Arial"/>
          <w:sz w:val="22"/>
        </w:rPr>
        <w:t xml:space="preserve">'s primary key by convention — see </w:t>
      </w:r>
      <w:r>
        <w:rPr>
          <w:rFonts w:ascii="Consolas" w:hAnsi="Consolas"/>
          <w:rFonts w:ascii="Consolas" w:hAnsi="Consolas"/>
          <w:sz w:val="20"/>
        </w:rPr>
        <w:t>data-design.md</w:t>
      </w:r>
      <w:r>
        <w:rPr>
          <w:rFonts w:ascii="Arial" w:hAnsi="Arial"/>
          <w:sz w:val="22"/>
        </w:rPr>
        <w:t>), including built-in TOTP MFA. User roles are modelled as application-level claims (</w:t>
      </w:r>
      <w:r>
        <w:rPr>
          <w:rFonts w:ascii="Consolas" w:hAnsi="Consolas"/>
          <w:rFonts w:ascii="Consolas" w:hAnsi="Consolas"/>
          <w:sz w:val="20"/>
        </w:rPr>
        <w:t>UserRole</w:t>
      </w:r>
      <w:r>
        <w:rPr>
          <w:rFonts w:ascii="Arial" w:hAnsi="Arial"/>
          <w:sz w:val="22"/>
        </w:rPr>
        <w:t xml:space="preserve">), not an external identity provider's groups — see </w:t>
      </w:r>
      <w:r>
        <w:rPr>
          <w:rFonts w:ascii="Consolas" w:hAnsi="Consolas"/>
          <w:rFonts w:ascii="Consolas" w:hAnsi="Consolas"/>
          <w:sz w:val="20"/>
        </w:rPr>
        <w:t>adr/0002-roles-as-application-claims.md</w:t>
      </w:r>
      <w:r>
        <w:rPr>
          <w:rFonts w:ascii="Arial" w:hAnsi="Arial"/>
          <w:sz w:val="22"/>
        </w:rPr>
        <w:t>. Guardian onboarding uses a self-rolled signed, single-use, expiring invite link (</w:t>
      </w:r>
      <w:r>
        <w:rPr>
          <w:rFonts w:ascii="Consolas" w:hAnsi="Consolas"/>
          <w:rFonts w:ascii="Consolas" w:hAnsi="Consolas"/>
          <w:sz w:val="20"/>
        </w:rPr>
        <w:t>GuardianInvite</w:t>
      </w:r>
      <w:r>
        <w:rPr>
          <w:rFonts w:ascii="Arial" w:hAnsi="Arial"/>
          <w:sz w:val="22"/>
        </w:rPr>
        <w:t>), replacing what was originally planned as a Microsoft Entra External ID invitation.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Decided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Scheduled jobs:</w:t>
      </w:r>
      <w:r>
        <w:rPr>
          <w:rFonts w:ascii="Arial" w:hAnsi="Arial"/>
          <w:sz w:val="22"/>
        </w:rPr>
        <w:t xml:space="preserve"> a systemd timer/service pair on the self-hosted VPS invoking </w:t>
      </w:r>
      <w:r>
        <w:rPr>
          <w:rFonts w:ascii="Consolas" w:hAnsi="Consolas"/>
          <w:rFonts w:ascii="Consolas" w:hAnsi="Consolas"/>
          <w:sz w:val="20"/>
        </w:rPr>
        <w:t>Vlms.Jobs</w:t>
      </w:r>
      <w:r>
        <w:rPr>
          <w:rFonts w:ascii="Arial" w:hAnsi="Arial"/>
          <w:sz w:val="22"/>
        </w:rPr>
        <w:t xml:space="preserve"> unchanged — see </w:t>
      </w:r>
      <w:r>
        <w:rPr>
          <w:rFonts w:ascii="Consolas" w:hAnsi="Consolas"/>
          <w:rFonts w:ascii="Consolas" w:hAnsi="Consolas"/>
          <w:sz w:val="20"/>
        </w:rPr>
        <w:t>adr/0003-scheduled-jobs-webjobs.md</w:t>
      </w:r>
      <w:r>
        <w:rPr>
          <w:rFonts w:ascii="Arial" w:hAnsi="Arial"/>
          <w:sz w:val="22"/>
        </w:rPr>
        <w:t xml:space="preserve"> as amended by </w:t>
      </w:r>
      <w:r>
        <w:rPr>
          <w:rFonts w:ascii="Consolas" w:hAnsi="Consolas"/>
          <w:rFonts w:ascii="Consolas" w:hAnsi="Consolas"/>
          <w:sz w:val="20"/>
        </w:rPr>
        <w:t>adr/0005-hosting-pivot-self-hosted-vps-postgresql.md</w:t>
      </w:r>
      <w:r>
        <w:rPr>
          <w:rFonts w:ascii="Arial" w:hAnsi="Arial"/>
          <w:sz w:val="22"/>
        </w:rPr>
        <w:t xml:space="preserve"> (originally Azure App Service WebJobs).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Sensitive-data access control:</w:t>
      </w:r>
      <w:r>
        <w:rPr>
          <w:rFonts w:ascii="Arial" w:hAnsi="Arial"/>
          <w:sz w:val="22"/>
        </w:rPr>
        <w:t xml:space="preserve"> EF Core global query filters + read audit log, tamper-protected at the database permission level via PostgreSQL </w:t>
      </w:r>
      <w:r>
        <w:rPr>
          <w:rFonts w:ascii="Consolas" w:hAnsi="Consolas"/>
          <w:rFonts w:ascii="Consolas" w:hAnsi="Consolas"/>
          <w:sz w:val="20"/>
        </w:rPr>
        <w:t>REVOKE</w:t>
      </w:r>
      <w:r>
        <w:rPr>
          <w:rFonts w:ascii="Arial" w:hAnsi="Arial"/>
          <w:sz w:val="22"/>
        </w:rPr>
        <w:t xml:space="preserve">/Row-Level Security — see </w:t>
      </w:r>
      <w:r>
        <w:rPr>
          <w:rFonts w:ascii="Consolas" w:hAnsi="Consolas"/>
          <w:rFonts w:ascii="Consolas" w:hAnsi="Consolas"/>
          <w:sz w:val="20"/>
        </w:rPr>
        <w:t>adr/0004-sensitive-data-access-control.md</w:t>
      </w:r>
      <w:r>
        <w:rPr>
          <w:rFonts w:ascii="Arial" w:hAnsi="Arial"/>
          <w:sz w:val="22"/>
        </w:rPr>
        <w:t>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Multi-tenancy:</w:t>
      </w:r>
      <w:r>
        <w:rPr>
          <w:rFonts w:ascii="Arial" w:hAnsi="Arial"/>
          <w:sz w:val="22"/>
        </w:rPr>
        <w:t xml:space="preserve"> none — this is a single-organisation system. Not designed for multiple Varangians-style organisations to share one deployment.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 [TBC] markers in the source markdown at this gate.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Solution Design and Architecture (HLD)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