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pPr>
      <w:r>
        <w:rPr>
          <w:rFonts w:ascii="Arial" w:hAnsi="Arial"/>
          <w:b/>
          <w:i w:val="0"/>
          <w:color w:val="1F2937"/>
          <w:sz w:val="48"/>
        </w:rPr>
        <w:t>VLMS Security and Compliance Assessment</w:t>
      </w:r>
    </w:p>
    <w:p>
      <w:pPr>
        <w:spacing w:after="40" w:before="0"/>
      </w:pPr>
      <w:r>
        <w:rPr>
          <w:rFonts w:ascii="Arial" w:hAnsi="Arial"/>
          <w:b w:val="0"/>
          <w:i w:val="0"/>
          <w:color w:val="374151"/>
          <w:sz w:val="24"/>
        </w:rPr>
        <w:t>Varangians LMS – Delivery Gate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2400"/>
            <w:shd w:val="clear" w:color="auto" w:fill="374151"/>
          </w:tcPr>
          <w:p>
            <w:pPr>
              <w:spacing w:after="40" w:before="40"/>
            </w:pPr>
            <w:r>
              <w:rPr>
                <w:rFonts w:ascii="Arial" w:hAnsi="Arial"/>
                <w:b/>
                <w:color w:val="FFFFFF"/>
                <w:sz w:val="20"/>
              </w:rPr>
              <w:t>Field</w:t>
            </w:r>
          </w:p>
        </w:tc>
        <w:tc>
          <w:tcPr>
            <w:tcW w:type="dxa" w:w="6626"/>
            <w:shd w:val="clear" w:color="auto" w:fill="374151"/>
          </w:tcPr>
          <w:p>
            <w:pPr>
              <w:spacing w:after="40" w:before="40"/>
            </w:pPr>
            <w:r>
              <w:rPr>
                <w:rFonts w:ascii="Arial" w:hAnsi="Arial"/>
                <w:b/>
                <w:color w:val="FFFFFF"/>
                <w:sz w:val="20"/>
              </w:rPr>
              <w:t>Detail</w:t>
            </w:r>
          </w:p>
        </w:tc>
      </w:tr>
      <w:tr>
        <w:tc>
          <w:tcPr>
            <w:tcW w:type="dxa" w:w="2400"/>
            <w:shd w:val="clear" w:color="auto" w:fill="F3F4F6"/>
          </w:tcPr>
          <w:p>
            <w:pPr>
              <w:spacing w:after="40" w:before="40"/>
            </w:pPr>
            <w:r>
              <w:rPr>
                <w:rFonts w:ascii="Arial" w:hAnsi="Arial"/>
                <w:sz w:val="20"/>
              </w:rPr>
              <w:t>Document</w:t>
            </w:r>
          </w:p>
        </w:tc>
        <w:tc>
          <w:tcPr>
            <w:tcW w:type="dxa" w:w="6626"/>
            <w:shd w:val="clear" w:color="auto" w:fill="F3F4F6"/>
          </w:tcPr>
          <w:p>
            <w:pPr>
              <w:spacing w:after="40" w:before="40"/>
            </w:pPr>
            <w:r>
              <w:rPr>
                <w:rFonts w:ascii="Arial" w:hAnsi="Arial"/>
                <w:sz w:val="20"/>
              </w:rPr>
              <w:t>VLMS Security and Compliance Assessment</w:t>
            </w:r>
          </w:p>
        </w:tc>
      </w:tr>
      <w:tr>
        <w:tc>
          <w:tcPr>
            <w:tcW w:type="dxa" w:w="2400"/>
            <w:shd w:val="clear" w:color="auto" w:fill="FFFFFF"/>
          </w:tcPr>
          <w:p>
            <w:pPr>
              <w:spacing w:after="40" w:before="40"/>
            </w:pPr>
            <w:r>
              <w:rPr>
                <w:rFonts w:ascii="Arial" w:hAnsi="Arial"/>
                <w:sz w:val="20"/>
              </w:rPr>
              <w:t>Document code</w:t>
            </w:r>
          </w:p>
        </w:tc>
        <w:tc>
          <w:tcPr>
            <w:tcW w:type="dxa" w:w="6626"/>
            <w:shd w:val="clear" w:color="auto" w:fill="FFFFFF"/>
          </w:tcPr>
          <w:p>
            <w:pPr>
              <w:spacing w:after="40" w:before="40"/>
            </w:pPr>
            <w:r>
              <w:rPr>
                <w:rFonts w:ascii="Arial" w:hAnsi="Arial"/>
                <w:sz w:val="20"/>
              </w:rPr>
              <w:t>VLMS-SEC</w:t>
            </w:r>
          </w:p>
        </w:tc>
      </w:tr>
      <w:tr>
        <w:tc>
          <w:tcPr>
            <w:tcW w:type="dxa" w:w="2400"/>
            <w:shd w:val="clear" w:color="auto" w:fill="F3F4F6"/>
          </w:tcPr>
          <w:p>
            <w:pPr>
              <w:spacing w:after="40" w:before="40"/>
            </w:pPr>
            <w:r>
              <w:rPr>
                <w:rFonts w:ascii="Arial" w:hAnsi="Arial"/>
                <w:sz w:val="20"/>
              </w:rPr>
              <w:t>Version</w:t>
            </w:r>
          </w:p>
        </w:tc>
        <w:tc>
          <w:tcPr>
            <w:tcW w:type="dxa" w:w="6626"/>
            <w:shd w:val="clear" w:color="auto" w:fill="F3F4F6"/>
          </w:tcPr>
          <w:p>
            <w:pPr>
              <w:spacing w:after="40" w:before="40"/>
            </w:pPr>
            <w:r>
              <w:rPr>
                <w:rFonts w:ascii="Arial" w:hAnsi="Arial"/>
                <w:sz w:val="20"/>
              </w:rPr>
              <w:t>2.0</w:t>
            </w:r>
          </w:p>
        </w:tc>
      </w:tr>
      <w:tr>
        <w:tc>
          <w:tcPr>
            <w:tcW w:type="dxa" w:w="2400"/>
            <w:shd w:val="clear" w:color="auto" w:fill="FFFFFF"/>
          </w:tcPr>
          <w:p>
            <w:pPr>
              <w:spacing w:after="40" w:before="40"/>
            </w:pPr>
            <w:r>
              <w:rPr>
                <w:rFonts w:ascii="Arial" w:hAnsi="Arial"/>
                <w:sz w:val="20"/>
              </w:rPr>
              <w:t>Status</w:t>
            </w:r>
          </w:p>
        </w:tc>
        <w:tc>
          <w:tcPr>
            <w:tcW w:type="dxa" w:w="6626"/>
            <w:shd w:val="clear" w:color="auto" w:fill="FFFFFF"/>
          </w:tcPr>
          <w:p>
            <w:pPr>
              <w:spacing w:after="40" w:before="40"/>
            </w:pPr>
            <w:r>
              <w:rPr>
                <w:rFonts w:ascii="Arial" w:hAnsi="Arial"/>
                <w:sz w:val="20"/>
              </w:rPr>
              <w:t>Delivery gate edition</w:t>
            </w:r>
          </w:p>
        </w:tc>
      </w:tr>
      <w:tr>
        <w:tc>
          <w:tcPr>
            <w:tcW w:type="dxa" w:w="2400"/>
            <w:shd w:val="clear" w:color="auto" w:fill="F3F4F6"/>
          </w:tcPr>
          <w:p>
            <w:pPr>
              <w:spacing w:after="40" w:before="40"/>
            </w:pPr>
            <w:r>
              <w:rPr>
                <w:rFonts w:ascii="Arial" w:hAnsi="Arial"/>
                <w:sz w:val="20"/>
              </w:rPr>
              <w:t>Date</w:t>
            </w:r>
          </w:p>
        </w:tc>
        <w:tc>
          <w:tcPr>
            <w:tcW w:type="dxa" w:w="6626"/>
            <w:shd w:val="clear" w:color="auto" w:fill="F3F4F6"/>
          </w:tcPr>
          <w:p>
            <w:pPr>
              <w:spacing w:after="40" w:before="40"/>
            </w:pPr>
            <w:r>
              <w:rPr>
                <w:rFonts w:ascii="Arial" w:hAnsi="Arial"/>
                <w:sz w:val="20"/>
              </w:rPr>
              <w:t>13 October 2026</w:t>
            </w:r>
          </w:p>
        </w:tc>
      </w:tr>
      <w:tr>
        <w:tc>
          <w:tcPr>
            <w:tcW w:type="dxa" w:w="2400"/>
            <w:shd w:val="clear" w:color="auto" w:fill="FFFFFF"/>
          </w:tcPr>
          <w:p>
            <w:pPr>
              <w:spacing w:after="40" w:before="40"/>
            </w:pPr>
            <w:r>
              <w:rPr>
                <w:rFonts w:ascii="Arial" w:hAnsi="Arial"/>
                <w:sz w:val="20"/>
              </w:rPr>
              <w:t>Author</w:t>
            </w:r>
          </w:p>
        </w:tc>
        <w:tc>
          <w:tcPr>
            <w:tcW w:type="dxa" w:w="6626"/>
            <w:shd w:val="clear" w:color="auto" w:fill="FFFFFF"/>
          </w:tcPr>
          <w:p>
            <w:pPr>
              <w:spacing w:after="40" w:before="40"/>
            </w:pPr>
            <w:r>
              <w:rPr>
                <w:rFonts w:ascii="Arial" w:hAnsi="Arial"/>
                <w:sz w:val="20"/>
              </w:rPr>
              <w:t>Philip</w:t>
            </w:r>
          </w:p>
        </w:tc>
      </w:tr>
      <w:tr>
        <w:tc>
          <w:tcPr>
            <w:tcW w:type="dxa" w:w="2400"/>
            <w:shd w:val="clear" w:color="auto" w:fill="F3F4F6"/>
          </w:tcPr>
          <w:p>
            <w:pPr>
              <w:spacing w:after="40" w:before="40"/>
            </w:pPr>
            <w:r>
              <w:rPr>
                <w:rFonts w:ascii="Arial" w:hAnsi="Arial"/>
                <w:sz w:val="20"/>
              </w:rPr>
              <w:t>Reviewers</w:t>
            </w:r>
          </w:p>
        </w:tc>
        <w:tc>
          <w:tcPr>
            <w:tcW w:type="dxa" w:w="6626"/>
            <w:shd w:val="clear" w:color="auto" w:fill="F3F4F6"/>
          </w:tcPr>
          <w:p>
            <w:pPr>
              <w:spacing w:after="40" w:before="40"/>
            </w:pPr>
            <w:r>
              <w:rPr>
                <w:rFonts w:ascii="Arial" w:hAnsi="Arial"/>
                <w:sz w:val="20"/>
              </w:rPr>
              <w:t>Philip (sole reviewer / approver)</w:t>
            </w:r>
          </w:p>
        </w:tc>
      </w:tr>
      <w:tr>
        <w:tc>
          <w:tcPr>
            <w:tcW w:type="dxa" w:w="2400"/>
            <w:shd w:val="clear" w:color="auto" w:fill="FFFFFF"/>
          </w:tcPr>
          <w:p>
            <w:pPr>
              <w:spacing w:after="40" w:before="40"/>
            </w:pPr>
            <w:r>
              <w:rPr>
                <w:rFonts w:ascii="Arial" w:hAnsi="Arial"/>
                <w:sz w:val="20"/>
              </w:rPr>
              <w:t>Approver</w:t>
            </w:r>
          </w:p>
        </w:tc>
        <w:tc>
          <w:tcPr>
            <w:tcW w:type="dxa" w:w="6626"/>
            <w:shd w:val="clear" w:color="auto" w:fill="FFFFFF"/>
          </w:tcPr>
          <w:p>
            <w:pPr>
              <w:spacing w:after="40" w:before="40"/>
            </w:pPr>
            <w:r>
              <w:rPr>
                <w:rFonts w:ascii="Arial" w:hAnsi="Arial"/>
                <w:sz w:val="20"/>
              </w:rPr>
              <w:t>[TBC]</w:t>
            </w:r>
          </w:p>
        </w:tc>
      </w:tr>
      <w:tr>
        <w:tc>
          <w:tcPr>
            <w:tcW w:type="dxa" w:w="2400"/>
            <w:shd w:val="clear" w:color="auto" w:fill="F3F4F6"/>
          </w:tcPr>
          <w:p>
            <w:pPr>
              <w:spacing w:after="40" w:before="40"/>
            </w:pPr>
            <w:r>
              <w:rPr>
                <w:rFonts w:ascii="Arial" w:hAnsi="Arial"/>
                <w:sz w:val="20"/>
              </w:rPr>
              <w:t>Scope / phase</w:t>
            </w:r>
          </w:p>
        </w:tc>
        <w:tc>
          <w:tcPr>
            <w:tcW w:type="dxa" w:w="6626"/>
            <w:shd w:val="clear" w:color="auto" w:fill="F3F4F6"/>
          </w:tcPr>
          <w:p>
            <w:pPr>
              <w:spacing w:after="40" w:before="40"/>
            </w:pPr>
            <w:r>
              <w:rPr>
                <w:rFonts w:ascii="Arial" w:hAnsi="Arial"/>
                <w:sz w:val="20"/>
              </w:rPr>
              <w:t>Delivery gate (complete with DPIA)</w:t>
            </w:r>
          </w:p>
        </w:tc>
      </w:tr>
      <w:tr>
        <w:tc>
          <w:tcPr>
            <w:tcW w:type="dxa" w:w="2400"/>
            <w:shd w:val="clear" w:color="auto" w:fill="FFFFFF"/>
          </w:tcPr>
          <w:p>
            <w:pPr>
              <w:spacing w:after="40" w:before="40"/>
            </w:pPr>
            <w:r>
              <w:rPr>
                <w:rFonts w:ascii="Arial" w:hAnsi="Arial"/>
                <w:sz w:val="20"/>
              </w:rPr>
              <w:t>Related documents</w:t>
            </w:r>
          </w:p>
        </w:tc>
        <w:tc>
          <w:tcPr>
            <w:tcW w:type="dxa" w:w="6626"/>
            <w:shd w:val="clear" w:color="auto" w:fill="FFFFFF"/>
          </w:tcPr>
          <w:p>
            <w:pPr>
              <w:spacing w:after="40" w:before="40"/>
            </w:pPr>
            <w:r>
              <w:rPr>
                <w:rFonts w:ascii="Arial" w:hAnsi="Arial"/>
                <w:sz w:val="20"/>
              </w:rPr>
              <w:t>docs/governance/security-compliance.md, docs/governance/dpia.md, docs/governance/privacy-notice.md, docs/governance/asvs-access-control-checklist.md</w:t>
            </w:r>
          </w:p>
        </w:tc>
      </w:tr>
    </w:tbl>
    <w:p>
      <w:pPr>
        <w:spacing w:after="80"/>
      </w:pPr>
    </w:p>
    <w:p>
      <w:pPr>
        <w:keepNext/>
        <w:spacing w:before="200" w:after="80"/>
        <w:outlineLvl w:val="1"/>
      </w:pPr>
      <w:r>
        <w:rPr>
          <w:rFonts w:ascii="Arial" w:hAnsi="Arial"/>
          <w:b/>
          <w:color w:val="1F2937"/>
          <w:sz w:val="26"/>
        </w:rPr>
        <w:t>Change History</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1150"/>
            <w:shd w:val="clear" w:color="auto" w:fill="374151"/>
          </w:tcPr>
          <w:p>
            <w:pPr>
              <w:spacing w:after="40" w:before="40"/>
            </w:pPr>
            <w:r>
              <w:rPr>
                <w:rFonts w:ascii="Arial" w:hAnsi="Arial"/>
                <w:b/>
                <w:color w:val="FFFFFF"/>
                <w:sz w:val="20"/>
              </w:rPr>
              <w:t>Version</w:t>
            </w:r>
          </w:p>
        </w:tc>
        <w:tc>
          <w:tcPr>
            <w:tcW w:type="dxa" w:w="1500"/>
            <w:shd w:val="clear" w:color="auto" w:fill="374151"/>
          </w:tcPr>
          <w:p>
            <w:pPr>
              <w:spacing w:after="40" w:before="40"/>
            </w:pPr>
            <w:r>
              <w:rPr>
                <w:rFonts w:ascii="Arial" w:hAnsi="Arial"/>
                <w:b/>
                <w:color w:val="FFFFFF"/>
                <w:sz w:val="20"/>
              </w:rPr>
              <w:t>Date</w:t>
            </w:r>
          </w:p>
        </w:tc>
        <w:tc>
          <w:tcPr>
            <w:tcW w:type="dxa" w:w="2700"/>
            <w:shd w:val="clear" w:color="auto" w:fill="374151"/>
          </w:tcPr>
          <w:p>
            <w:pPr>
              <w:spacing w:after="40" w:before="40"/>
            </w:pPr>
            <w:r>
              <w:rPr>
                <w:rFonts w:ascii="Arial" w:hAnsi="Arial"/>
                <w:b/>
                <w:color w:val="FFFFFF"/>
                <w:sz w:val="20"/>
              </w:rPr>
              <w:t>Author</w:t>
            </w:r>
          </w:p>
        </w:tc>
        <w:tc>
          <w:tcPr>
            <w:tcW w:type="dxa" w:w="3676"/>
            <w:shd w:val="clear" w:color="auto" w:fill="374151"/>
          </w:tcPr>
          <w:p>
            <w:pPr>
              <w:spacing w:after="40" w:before="40"/>
            </w:pPr>
            <w:r>
              <w:rPr>
                <w:rFonts w:ascii="Arial" w:hAnsi="Arial"/>
                <w:b/>
                <w:color w:val="FFFFFF"/>
                <w:sz w:val="20"/>
              </w:rPr>
              <w:t>Summary</w:t>
            </w:r>
          </w:p>
        </w:tc>
      </w:tr>
      <w:tr>
        <w:tc>
          <w:tcPr>
            <w:tcW w:type="dxa" w:w="1150"/>
            <w:shd w:val="clear" w:color="auto" w:fill="F3F4F6"/>
          </w:tcPr>
          <w:p>
            <w:pPr>
              <w:spacing w:after="40" w:before="40"/>
            </w:pPr>
            <w:r>
              <w:rPr>
                <w:rFonts w:ascii="Arial" w:hAnsi="Arial"/>
                <w:sz w:val="20"/>
              </w:rPr>
              <w:t>2.0</w:t>
            </w:r>
          </w:p>
        </w:tc>
        <w:tc>
          <w:tcPr>
            <w:tcW w:type="dxa" w:w="1500"/>
            <w:shd w:val="clear" w:color="auto" w:fill="F3F4F6"/>
          </w:tcPr>
          <w:p>
            <w:pPr>
              <w:spacing w:after="40" w:before="40"/>
            </w:pPr>
            <w:r>
              <w:rPr>
                <w:rFonts w:ascii="Arial" w:hAnsi="Arial"/>
                <w:sz w:val="20"/>
              </w:rPr>
              <w:t>13 October 2026</w:t>
            </w:r>
          </w:p>
        </w:tc>
        <w:tc>
          <w:tcPr>
            <w:tcW w:type="dxa" w:w="2700"/>
            <w:shd w:val="clear" w:color="auto" w:fill="F3F4F6"/>
          </w:tcPr>
          <w:p>
            <w:pPr>
              <w:spacing w:after="40" w:before="40"/>
            </w:pPr>
            <w:r>
              <w:rPr>
                <w:rFonts w:ascii="Arial" w:hAnsi="Arial"/>
                <w:sz w:val="20"/>
              </w:rPr>
              <w:t>Philip</w:t>
            </w:r>
          </w:p>
        </w:tc>
        <w:tc>
          <w:tcPr>
            <w:tcW w:type="dxa" w:w="3676"/>
            <w:shd w:val="clear" w:color="auto" w:fill="F3F4F6"/>
          </w:tcPr>
          <w:p>
            <w:pPr>
              <w:spacing w:after="40" w:before="40"/>
            </w:pPr>
            <w:r>
              <w:rPr>
                <w:rFonts w:ascii="Arial" w:hAnsi="Arial"/>
                <w:sz w:val="20"/>
              </w:rPr>
              <w:t>Delivery gate edition, rendered from docs/ working markdown (supersedes design gate edition where one exists).</w:t>
            </w:r>
          </w:p>
        </w:tc>
      </w:tr>
    </w:tbl>
    <w:p>
      <w:pPr>
        <w:spacing w:after="80"/>
      </w:pPr>
    </w:p>
    <w:p>
      <w:r>
        <w:br w:type="page"/>
      </w:r>
    </w:p>
    <w:p>
      <w:pPr>
        <w:keepNext/>
        <w:spacing w:before="280" w:after="120"/>
        <w:outlineLvl w:val="0"/>
      </w:pPr>
      <w:r>
        <w:rPr>
          <w:rFonts w:ascii="Arial" w:hAnsi="Arial"/>
          <w:b/>
          <w:color w:val="111827"/>
          <w:sz w:val="32"/>
        </w:rPr>
        <w:t>Contents</w:t>
      </w:r>
    </w:p>
    <w:p>
      <w:fldSimple w:instr="TOC \o &quot;1-2&quot; \h \z \u">
        <w:r>
          <w:t>Right-click and choose "Update Field" to build the contents.</w:t>
        </w:r>
      </w:fldSimple>
    </w:p>
    <w:p>
      <w:r>
        <w:br w:type="page"/>
      </w:r>
    </w:p>
    <w:p>
      <w:pPr>
        <w:keepNext/>
        <w:spacing w:before="280" w:after="120"/>
        <w:outlineLvl w:val="0"/>
      </w:pPr>
      <w:r>
        <w:rPr>
          <w:rFonts w:ascii="Arial" w:hAnsi="Arial"/>
          <w:b/>
          <w:color w:val="111827"/>
          <w:sz w:val="32"/>
        </w:rPr>
        <w:t>Standards and Conformance</w:t>
      </w:r>
    </w:p>
    <w:p>
      <w:pPr>
        <w:spacing w:after="120" w:before="0"/>
      </w:pPr>
      <w:r>
        <w:rPr>
          <w:rFonts w:ascii="Arial" w:hAnsi="Arial"/>
          <w:b w:val="0"/>
          <w:i w:val="0"/>
          <w:sz w:val="22"/>
        </w:rPr>
        <w:t>This document satisfies or is consistent with: ISO/IEC 27001:2022, OWASP ASVS 5.0, UK GDPR / Data Protection Act 2018 (control document, not legal advice).</w:t>
      </w:r>
    </w:p>
    <w:p>
      <w:pPr>
        <w:spacing w:after="120" w:before="0"/>
      </w:pPr>
      <w:r>
        <w:rPr>
          <w:rFonts w:ascii="Arial" w:hAnsi="Arial"/>
          <w:b w:val="0"/>
          <w:i/>
          <w:sz w:val="20"/>
        </w:rPr>
        <w:t>Generated from the working markdown listed in Related documents; the markdown is authoritative. Status of source material is reproduced as written in each source.</w:t>
      </w:r>
    </w:p>
    <w:p>
      <w:pPr>
        <w:keepNext/>
        <w:spacing w:before="280" w:after="120"/>
        <w:outlineLvl w:val="0"/>
      </w:pPr>
      <w:r>
        <w:rPr>
          <w:rFonts w:ascii="Arial" w:hAnsi="Arial"/>
          <w:b/>
          <w:color w:val="111827"/>
          <w:sz w:val="32"/>
        </w:rPr>
        <w:t>Security &amp; Compliance Assessment</w:t>
      </w:r>
    </w:p>
    <w:p>
      <w:pPr>
        <w:spacing w:after="80"/>
      </w:pPr>
      <w:r>
        <w:rPr>
          <w:rFonts w:ascii="Arial" w:hAnsi="Arial"/>
          <w:sz w:val="22"/>
        </w:rPr>
        <w:t>Status: in progress</w:t>
      </w:r>
    </w:p>
    <w:p>
      <w:pPr>
        <w:keepNext/>
        <w:spacing w:before="200" w:after="80"/>
        <w:outlineLvl w:val="1"/>
      </w:pPr>
      <w:r>
        <w:rPr>
          <w:rFonts w:ascii="Arial" w:hAnsi="Arial"/>
          <w:b/>
          <w:color w:val="1F2937"/>
          <w:sz w:val="26"/>
        </w:rPr>
        <w:t>Data classification drivers (confirmed in scope)</w:t>
      </w:r>
    </w:p>
    <w:p>
      <w:pPr>
        <w:spacing w:after="40"/>
        <w:ind w:left="620" w:hanging="260"/>
      </w:pPr>
      <w:r>
        <w:rPr>
          <w:rFonts w:ascii="Arial" w:hAnsi="Arial"/>
          <w:sz w:val="22"/>
        </w:rPr>
        <w:t xml:space="preserve">•  </w:t>
      </w:r>
      <w:r>
        <w:rPr>
          <w:rFonts w:ascii="Arial" w:hAnsi="Arial"/>
          <w:sz w:val="22"/>
        </w:rPr>
        <w:t>The system manages safeguarding/consent data directly: medical information, photo/media consent, dietary/SEN data, DBS (Disclosure and Barring Service) check records, emergency contact details. This is special-category and children's personal data.</w:t>
      </w:r>
    </w:p>
    <w:p>
      <w:pPr>
        <w:spacing w:after="40"/>
        <w:ind w:left="620" w:hanging="260"/>
      </w:pPr>
      <w:r>
        <w:rPr>
          <w:rFonts w:ascii="Arial" w:hAnsi="Arial"/>
          <w:sz w:val="22"/>
        </w:rPr>
        <w:t xml:space="preserve">•  </w:t>
      </w:r>
      <w:r>
        <w:rPr>
          <w:rFonts w:ascii="Arial" w:hAnsi="Arial"/>
          <w:sz w:val="22"/>
        </w:rPr>
        <w:t xml:space="preserve">Implication: UK GDPR / Data Protection Act 2018 obligations apply directly (lawful basis, special-category conditions, retention/deletion, data subject rights, likely a DPIA). </w:t>
      </w:r>
      <w:r>
        <w:rPr>
          <w:rFonts w:ascii="Arial" w:hAnsi="Arial"/>
          <w:b/>
          <w:sz w:val="22"/>
        </w:rPr>
        <w:t>DPIA screening is tracked directly in `governance/raid.md` (D-003), owned by Philip, due before go-live</w:t>
      </w:r>
      <w:r>
        <w:rPr>
          <w:rFonts w:ascii="Arial" w:hAnsi="Arial"/>
          <w:sz w:val="22"/>
        </w:rPr>
        <w:t xml:space="preserve"> — not left as a forward reference to a document that doesn't exist yet.</w:t>
      </w:r>
    </w:p>
    <w:p>
      <w:pPr>
        <w:spacing w:after="40"/>
        <w:ind w:left="620" w:hanging="260"/>
      </w:pPr>
      <w:r>
        <w:rPr>
          <w:rFonts w:ascii="Arial" w:hAnsi="Arial"/>
          <w:sz w:val="22"/>
        </w:rPr>
        <w:t xml:space="preserve">•  </w:t>
      </w:r>
      <w:r>
        <w:rPr>
          <w:rFonts w:ascii="Arial" w:hAnsi="Arial"/>
          <w:sz w:val="22"/>
        </w:rPr>
        <w:t xml:space="preserve">Whole-entity access restriction on sensitive data, and </w:t>
      </w:r>
      <w:r>
        <w:rPr>
          <w:rFonts w:ascii="Arial" w:hAnsi="Arial"/>
          <w:b/>
          <w:sz w:val="22"/>
        </w:rPr>
        <w:t>audit logging of reads</w:t>
      </w:r>
      <w:r>
        <w:rPr>
          <w:rFonts w:ascii="Arial" w:hAnsi="Arial"/>
          <w:sz w:val="22"/>
        </w:rPr>
        <w:t xml:space="preserve"> (not just writes) — confirmed as NFR-001 (</w:t>
      </w:r>
      <w:r>
        <w:rPr>
          <w:rFonts w:ascii="Consolas" w:hAnsi="Consolas"/>
          <w:rFonts w:ascii="Consolas" w:hAnsi="Consolas"/>
          <w:sz w:val="20"/>
        </w:rPr>
        <w:t>requirements/non-functional.md</w:t>
      </w:r>
      <w:r>
        <w:rPr>
          <w:rFonts w:ascii="Arial" w:hAnsi="Arial"/>
          <w:sz w:val="22"/>
        </w:rPr>
        <w:t xml:space="preserve">), enforced via the </w:t>
      </w:r>
      <w:r>
        <w:rPr>
          <w:rFonts w:ascii="Consolas" w:hAnsi="Consolas"/>
          <w:rFonts w:ascii="Consolas" w:hAnsi="Consolas"/>
          <w:sz w:val="20"/>
        </w:rPr>
        <w:t>ConsentRecord</w:t>
      </w:r>
      <w:r>
        <w:rPr>
          <w:rFonts w:ascii="Arial" w:hAnsi="Arial"/>
          <w:sz w:val="22"/>
        </w:rPr>
        <w:t>/</w:t>
      </w:r>
      <w:r>
        <w:rPr>
          <w:rFonts w:ascii="Consolas" w:hAnsi="Consolas"/>
          <w:rFonts w:ascii="Consolas" w:hAnsi="Consolas"/>
          <w:sz w:val="20"/>
        </w:rPr>
        <w:t>ConsentSensitiveDetails</w:t>
      </w:r>
      <w:r>
        <w:rPr>
          <w:rFonts w:ascii="Arial" w:hAnsi="Arial"/>
          <w:sz w:val="22"/>
        </w:rPr>
        <w:t xml:space="preserve"> entity split + EF Core global query filters + an </w:t>
      </w:r>
      <w:r>
        <w:rPr>
          <w:rFonts w:ascii="Consolas" w:hAnsi="Consolas"/>
          <w:rFonts w:ascii="Consolas" w:hAnsi="Consolas"/>
          <w:sz w:val="20"/>
        </w:rPr>
        <w:t>IMaterializationInterceptor</w:t>
      </w:r>
      <w:r>
        <w:rPr>
          <w:rFonts w:ascii="Arial" w:hAnsi="Arial"/>
          <w:sz w:val="22"/>
        </w:rPr>
        <w:t xml:space="preserve">-based </w:t>
      </w:r>
      <w:r>
        <w:rPr>
          <w:rFonts w:ascii="Consolas" w:hAnsi="Consolas"/>
          <w:rFonts w:ascii="Consolas" w:hAnsi="Consolas"/>
          <w:sz w:val="20"/>
        </w:rPr>
        <w:t>SensitiveDataAccessLog</w:t>
      </w:r>
      <w:r>
        <w:rPr>
          <w:rFonts w:ascii="Arial" w:hAnsi="Arial"/>
          <w:sz w:val="22"/>
        </w:rPr>
        <w:t xml:space="preserve"> (</w:t>
      </w:r>
      <w:r>
        <w:rPr>
          <w:rFonts w:ascii="Consolas" w:hAnsi="Consolas"/>
          <w:rFonts w:ascii="Consolas" w:hAnsi="Consolas"/>
          <w:sz w:val="20"/>
        </w:rPr>
        <w:t>adr/0004-sensitive-data-access-control.md</w:t>
      </w:r>
      <w:r>
        <w:rPr>
          <w:rFonts w:ascii="Arial" w:hAnsi="Arial"/>
          <w:sz w:val="22"/>
        </w:rPr>
        <w:t xml:space="preserve">, </w:t>
      </w:r>
      <w:r>
        <w:rPr>
          <w:rFonts w:ascii="Consolas" w:hAnsi="Consolas"/>
          <w:rFonts w:ascii="Consolas" w:hAnsi="Consolas"/>
          <w:sz w:val="20"/>
        </w:rPr>
        <w:t>design/data-design.md</w:t>
      </w:r>
      <w:r>
        <w:rPr>
          <w:rFonts w:ascii="Arial" w:hAnsi="Arial"/>
          <w:sz w:val="22"/>
        </w:rPr>
        <w:t>).</w:t>
      </w:r>
    </w:p>
    <w:p>
      <w:pPr>
        <w:spacing w:after="40"/>
        <w:ind w:left="620" w:hanging="260"/>
      </w:pPr>
      <w:r>
        <w:rPr>
          <w:rFonts w:ascii="Arial" w:hAnsi="Arial"/>
          <w:sz w:val="22"/>
        </w:rPr>
        <w:t xml:space="preserve">•  </w:t>
      </w:r>
      <w:r>
        <w:rPr>
          <w:rFonts w:ascii="Arial" w:hAnsi="Arial"/>
          <w:sz w:val="22"/>
        </w:rPr>
        <w:t>Confirmed: no external governing body/regulator (e.g. diocese, national youth-org policy) imposes rules beyond general UK law — general UK GDPR/DPA 2018 and safeguarding good practice is the applicable bar.</w:t>
      </w:r>
    </w:p>
    <w:p>
      <w:pPr>
        <w:keepNext/>
        <w:spacing w:before="200" w:after="80"/>
        <w:outlineLvl w:val="1"/>
      </w:pPr>
      <w:r>
        <w:rPr>
          <w:rFonts w:ascii="Arial" w:hAnsi="Arial"/>
          <w:b/>
          <w:color w:val="1F2937"/>
          <w:sz w:val="26"/>
        </w:rPr>
        <w:t>Access control by role (confirmed)</w:t>
      </w:r>
    </w:p>
    <w:p>
      <w:pPr>
        <w:spacing w:after="40"/>
        <w:ind w:left="620" w:hanging="260"/>
      </w:pPr>
      <w:r>
        <w:rPr>
          <w:rFonts w:ascii="Arial" w:hAnsi="Arial"/>
          <w:sz w:val="22"/>
        </w:rPr>
        <w:t xml:space="preserve">•  </w:t>
      </w:r>
      <w:r>
        <w:rPr>
          <w:rFonts w:ascii="Consolas" w:hAnsi="Consolas"/>
          <w:rFonts w:ascii="Consolas" w:hAnsi="Consolas"/>
          <w:sz w:val="20"/>
        </w:rPr>
        <w:t>DbsCheck</w:t>
      </w:r>
      <w:r>
        <w:rPr>
          <w:rFonts w:ascii="Arial" w:hAnsi="Arial"/>
          <w:sz w:val="22"/>
        </w:rPr>
        <w:t xml:space="preserve"> records — whole-record access restricted to </w:t>
      </w:r>
      <w:r>
        <w:rPr>
          <w:rFonts w:ascii="Arial" w:hAnsi="Arial"/>
          <w:b/>
          <w:sz w:val="22"/>
        </w:rPr>
        <w:t>Admin and Safeguarding Officer only</w:t>
      </w:r>
      <w:r>
        <w:rPr>
          <w:rFonts w:ascii="Arial" w:hAnsi="Arial"/>
          <w:sz w:val="22"/>
        </w:rPr>
        <w:t>. Teacher and Approver have no access, not even a masked view.</w:t>
      </w:r>
    </w:p>
    <w:p>
      <w:pPr>
        <w:spacing w:after="40"/>
        <w:ind w:left="620" w:hanging="260"/>
      </w:pPr>
      <w:r>
        <w:rPr>
          <w:rFonts w:ascii="Arial" w:hAnsi="Arial"/>
          <w:sz w:val="22"/>
        </w:rPr>
        <w:t xml:space="preserve">•  </w:t>
      </w:r>
      <w:r>
        <w:rPr>
          <w:rFonts w:ascii="Consolas" w:hAnsi="Consolas"/>
          <w:rFonts w:ascii="Consolas" w:hAnsi="Consolas"/>
          <w:sz w:val="20"/>
        </w:rPr>
        <w:t>ConsentSensitiveDetails</w:t>
      </w:r>
      <w:r>
        <w:rPr>
          <w:rFonts w:ascii="Arial" w:hAnsi="Arial"/>
          <w:sz w:val="22"/>
        </w:rPr>
        <w:t xml:space="preserve"> (medical, dietary/SEN, emergency contact — split out from </w:t>
      </w:r>
      <w:r>
        <w:rPr>
          <w:rFonts w:ascii="Consolas" w:hAnsi="Consolas"/>
          <w:rFonts w:ascii="Consolas" w:hAnsi="Consolas"/>
          <w:sz w:val="20"/>
        </w:rPr>
        <w:t>ConsentRecord</w:t>
      </w:r>
      <w:r>
        <w:rPr>
          <w:rFonts w:ascii="Arial" w:hAnsi="Arial"/>
          <w:sz w:val="22"/>
        </w:rPr>
        <w:t xml:space="preserve"> at design review, since these can't be column-masked on a row Teacher otherwise needs) — visible only to Admin and Safeguarding Officer. </w:t>
      </w:r>
      <w:r>
        <w:rPr>
          <w:rFonts w:ascii="Consolas" w:hAnsi="Consolas"/>
          <w:rFonts w:ascii="Consolas" w:hAnsi="Consolas"/>
          <w:sz w:val="20"/>
        </w:rPr>
        <w:t>ConsentRecord</w:t>
      </w:r>
      <w:r>
        <w:rPr>
          <w:rFonts w:ascii="Arial" w:hAnsi="Arial"/>
          <w:sz w:val="22"/>
        </w:rPr>
        <w:t xml:space="preserve"> itself (status/expiry) remains readable by Teacher/Approver.</w:t>
      </w:r>
    </w:p>
    <w:p>
      <w:pPr>
        <w:spacing w:after="40"/>
        <w:ind w:left="620" w:hanging="260"/>
      </w:pPr>
      <w:r>
        <w:rPr>
          <w:rFonts w:ascii="Arial" w:hAnsi="Arial"/>
          <w:sz w:val="22"/>
        </w:rPr>
        <w:t xml:space="preserve">•  </w:t>
      </w:r>
      <w:r>
        <w:rPr>
          <w:rFonts w:ascii="Arial" w:hAnsi="Arial"/>
          <w:sz w:val="22"/>
        </w:rPr>
        <w:t xml:space="preserve">The </w:t>
      </w:r>
      <w:r>
        <w:rPr>
          <w:rFonts w:ascii="Arial" w:hAnsi="Arial"/>
          <w:b/>
          <w:sz w:val="22"/>
        </w:rPr>
        <w:t>Approver</w:t>
      </w:r>
      <w:r>
        <w:rPr>
          <w:rFonts w:ascii="Arial" w:hAnsi="Arial"/>
          <w:sz w:val="22"/>
        </w:rPr>
        <w:t xml:space="preserve"> role is scoped to curriculum/lesson-change approval only — it carries no safeguarding, consent, or DBS privileges. This was a discovery correction: the Approver role must not be conflated with consent/safeguarding sign-off.</w:t>
      </w:r>
    </w:p>
    <w:p>
      <w:pPr>
        <w:spacing w:after="40"/>
        <w:ind w:left="620" w:hanging="260"/>
      </w:pPr>
      <w:r>
        <w:rPr>
          <w:rFonts w:ascii="Arial" w:hAnsi="Arial"/>
          <w:sz w:val="22"/>
        </w:rPr>
        <w:t xml:space="preserve">•  </w:t>
      </w:r>
      <w:r>
        <w:rPr>
          <w:rFonts w:ascii="Arial" w:hAnsi="Arial"/>
          <w:sz w:val="22"/>
        </w:rPr>
        <w:t>Consent record approval (</w:t>
      </w:r>
      <w:r>
        <w:rPr>
          <w:rFonts w:ascii="Consolas" w:hAnsi="Consolas"/>
          <w:rFonts w:ascii="Consolas" w:hAnsi="Consolas"/>
          <w:sz w:val="20"/>
        </w:rPr>
        <w:t>ConsentRecord.ApprovedByUserId</w:t>
      </w:r>
      <w:r>
        <w:rPr>
          <w:rFonts w:ascii="Arial" w:hAnsi="Arial"/>
          <w:sz w:val="22"/>
        </w:rPr>
        <w:t>) is performed by Safeguarding Officer or Admin, not by the Approver role.</w:t>
      </w:r>
    </w:p>
    <w:p>
      <w:pPr>
        <w:keepNext/>
        <w:spacing w:before="200" w:after="80"/>
        <w:outlineLvl w:val="1"/>
      </w:pPr>
      <w:r>
        <w:rPr>
          <w:rFonts w:ascii="Arial" w:hAnsi="Arial"/>
          <w:b/>
          <w:color w:val="1F2937"/>
          <w:sz w:val="26"/>
        </w:rPr>
        <w:t>Retention (confirmed)</w:t>
      </w:r>
    </w:p>
    <w:p>
      <w:pPr>
        <w:spacing w:after="40"/>
        <w:ind w:left="620" w:hanging="260"/>
      </w:pPr>
      <w:r>
        <w:rPr>
          <w:rFonts w:ascii="Arial" w:hAnsi="Arial"/>
          <w:sz w:val="22"/>
        </w:rPr>
        <w:t xml:space="preserve">•  </w:t>
      </w:r>
      <w:r>
        <w:rPr>
          <w:rFonts w:ascii="Arial" w:hAnsi="Arial"/>
          <w:sz w:val="22"/>
        </w:rPr>
        <w:t xml:space="preserve">Student records (including consent, medical/dietary/SEN data): retained </w:t>
      </w:r>
      <w:r>
        <w:rPr>
          <w:rFonts w:ascii="Arial" w:hAnsi="Arial"/>
          <w:b/>
          <w:sz w:val="22"/>
        </w:rPr>
        <w:t>3 years from the student leaving/graduating</w:t>
      </w:r>
      <w:r>
        <w:rPr>
          <w:rFonts w:ascii="Arial" w:hAnsi="Arial"/>
          <w:sz w:val="22"/>
        </w:rPr>
        <w:t xml:space="preserve"> the programme.</w:t>
      </w:r>
    </w:p>
    <w:p>
      <w:pPr>
        <w:spacing w:after="40"/>
        <w:ind w:left="620" w:hanging="260"/>
      </w:pPr>
      <w:r>
        <w:rPr>
          <w:rFonts w:ascii="Arial" w:hAnsi="Arial"/>
          <w:sz w:val="22"/>
        </w:rPr>
        <w:t xml:space="preserve">•  </w:t>
      </w:r>
      <w:r>
        <w:rPr>
          <w:rFonts w:ascii="Consolas" w:hAnsi="Consolas"/>
          <w:rFonts w:ascii="Consolas" w:hAnsi="Consolas"/>
          <w:sz w:val="20"/>
        </w:rPr>
        <w:t>DbsCheck</w:t>
      </w:r>
      <w:r>
        <w:rPr>
          <w:rFonts w:ascii="Arial" w:hAnsi="Arial"/>
          <w:sz w:val="22"/>
        </w:rPr>
        <w:t xml:space="preserve"> records: retained </w:t>
      </w:r>
      <w:r>
        <w:rPr>
          <w:rFonts w:ascii="Arial" w:hAnsi="Arial"/>
          <w:b/>
          <w:sz w:val="22"/>
        </w:rPr>
        <w:t>6 years</w:t>
      </w:r>
      <w:r>
        <w:rPr>
          <w:rFonts w:ascii="Arial" w:hAnsi="Arial"/>
          <w:sz w:val="22"/>
        </w:rPr>
        <w:t xml:space="preserve"> after expiry or the teacher leaving.</w:t>
      </w:r>
    </w:p>
    <w:p>
      <w:pPr>
        <w:spacing w:after="40"/>
        <w:ind w:left="620" w:hanging="260"/>
      </w:pPr>
      <w:r>
        <w:rPr>
          <w:rFonts w:ascii="Arial" w:hAnsi="Arial"/>
          <w:sz w:val="22"/>
        </w:rPr>
        <w:t xml:space="preserve">•  </w:t>
      </w:r>
      <w:r>
        <w:rPr>
          <w:rFonts w:ascii="Arial" w:hAnsi="Arial"/>
          <w:sz w:val="22"/>
        </w:rPr>
        <w:t>Deletion enforcement — interim decision (</w:t>
      </w:r>
      <w:r>
        <w:rPr>
          <w:rFonts w:ascii="Consolas" w:hAnsi="Consolas"/>
          <w:rFonts w:ascii="Consolas" w:hAnsi="Consolas"/>
          <w:sz w:val="20"/>
        </w:rPr>
        <w:t>design/data-design.md</w:t>
      </w:r>
      <w:r>
        <w:rPr>
          <w:rFonts w:ascii="Arial" w:hAnsi="Arial"/>
          <w:sz w:val="22"/>
        </w:rPr>
        <w:t>): manual, Admin-triggered deletion via a "records due for deletion" report, once a record passes its retention period. Full automated purge deferred as an acceptable trade-off at solo-maintainer/tens-of-users scale.</w:t>
      </w:r>
    </w:p>
    <w:p>
      <w:pPr>
        <w:spacing w:after="40"/>
        <w:ind w:left="620" w:hanging="260"/>
      </w:pPr>
      <w:r>
        <w:rPr>
          <w:rFonts w:ascii="Arial" w:hAnsi="Arial"/>
          <w:sz w:val="22"/>
        </w:rPr>
        <w:t xml:space="preserve">•  </w:t>
      </w:r>
      <w:r>
        <w:rPr>
          <w:rFonts w:ascii="Arial" w:hAnsi="Arial"/>
          <w:sz w:val="22"/>
        </w:rPr>
        <w:t xml:space="preserve">Hard delete vs anonymisation — </w:t>
      </w:r>
      <w:r>
        <w:rPr>
          <w:rFonts w:ascii="Arial" w:hAnsi="Arial"/>
          <w:b/>
          <w:sz w:val="22"/>
        </w:rPr>
        <w:t>decided:</w:t>
      </w:r>
      <w:r>
        <w:rPr>
          <w:rFonts w:ascii="Arial" w:hAnsi="Arial"/>
          <w:sz w:val="22"/>
        </w:rPr>
        <w:t xml:space="preserve"> hard delete (</w:t>
      </w:r>
      <w:r>
        <w:rPr>
          <w:rFonts w:ascii="Consolas" w:hAnsi="Consolas"/>
          <w:rFonts w:ascii="Consolas" w:hAnsi="Consolas"/>
          <w:sz w:val="20"/>
        </w:rPr>
        <w:t>design/data-design.md</w:t>
      </w:r>
      <w:r>
        <w:rPr>
          <w:rFonts w:ascii="Arial" w:hAnsi="Arial"/>
          <w:sz w:val="22"/>
        </w:rPr>
        <w:t>), to avoid the anonymisation-adequacy question and because nothing in scope needs retained-but-anonymised historical data.</w:t>
      </w:r>
    </w:p>
    <w:p>
      <w:pPr>
        <w:spacing w:after="40"/>
        <w:ind w:left="620" w:hanging="260"/>
      </w:pPr>
      <w:r>
        <w:rPr>
          <w:rFonts w:ascii="Arial" w:hAnsi="Arial"/>
          <w:sz w:val="22"/>
        </w:rPr>
        <w:t xml:space="preserve">•  </w:t>
      </w:r>
      <w:r>
        <w:rPr>
          <w:rFonts w:ascii="Consolas" w:hAnsi="Consolas"/>
          <w:rFonts w:ascii="Consolas" w:hAnsi="Consolas"/>
          <w:sz w:val="20"/>
        </w:rPr>
        <w:t>SensitiveDataAccessLog</w:t>
      </w:r>
      <w:r>
        <w:rPr>
          <w:rFonts w:ascii="Arial" w:hAnsi="Arial"/>
          <w:sz w:val="22"/>
        </w:rPr>
        <w:t xml:space="preserve"> (the audit trail itself) is retained </w:t>
      </w:r>
      <w:r>
        <w:rPr>
          <w:rFonts w:ascii="Arial" w:hAnsi="Arial"/>
          <w:b/>
          <w:sz w:val="22"/>
        </w:rPr>
        <w:t>6 years</w:t>
      </w:r>
      <w:r>
        <w:rPr>
          <w:rFonts w:ascii="Arial" w:hAnsi="Arial"/>
          <w:sz w:val="22"/>
        </w:rPr>
        <w:t xml:space="preserve"> independent of the referenced record's own retention, and is tamper-protected at the database permission level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denied), not just an application convention.</w:t>
      </w:r>
    </w:p>
    <w:p>
      <w:pPr>
        <w:spacing w:after="40"/>
        <w:ind w:left="620" w:hanging="260"/>
      </w:pPr>
      <w:r>
        <w:rPr>
          <w:rFonts w:ascii="Arial" w:hAnsi="Arial"/>
          <w:sz w:val="22"/>
        </w:rPr>
        <w:t xml:space="preserve">•  </w:t>
      </w:r>
      <w:r>
        <w:rPr>
          <w:rFonts w:ascii="Arial" w:hAnsi="Arial"/>
          <w:sz w:val="22"/>
        </w:rPr>
        <w:t>Guardian-link verification (</w:t>
      </w:r>
      <w:r>
        <w:rPr>
          <w:rFonts w:ascii="Consolas" w:hAnsi="Consolas"/>
          <w:rFonts w:ascii="Consolas" w:hAnsi="Consolas"/>
          <w:sz w:val="20"/>
        </w:rPr>
        <w:t>design/data-design.md</w:t>
      </w:r>
      <w:r>
        <w:rPr>
          <w:rFonts w:ascii="Arial" w:hAnsi="Arial"/>
          <w:sz w:val="22"/>
        </w:rPr>
        <w:t xml:space="preserve">): a </w:t>
      </w:r>
      <w:r>
        <w:rPr>
          <w:rFonts w:ascii="Consolas" w:hAnsi="Consolas"/>
          <w:rFonts w:ascii="Consolas" w:hAnsi="Consolas"/>
          <w:sz w:val="20"/>
        </w:rPr>
        <w:t>StudentGuardianLink</w:t>
      </w:r>
      <w:r>
        <w:rPr>
          <w:rFonts w:ascii="Arial" w:hAnsi="Arial"/>
          <w:sz w:val="22"/>
        </w:rPr>
        <w:t xml:space="preserve"> is only ever created by Admin/Teacher at student registration, never by parent self-service — closes a design-review gap: open self-service sign-up (this system still has a general </w:t>
      </w:r>
      <w:r>
        <w:rPr>
          <w:rFonts w:ascii="Consolas" w:hAnsi="Consolas"/>
          <w:rFonts w:ascii="Consolas" w:hAnsi="Consolas"/>
          <w:sz w:val="20"/>
        </w:rPr>
        <w:t>/Account/Register</w:t>
      </w:r>
      <w:r>
        <w:rPr>
          <w:rFonts w:ascii="Arial" w:hAnsi="Arial"/>
          <w:sz w:val="22"/>
        </w:rPr>
        <w:t xml:space="preserve"> page, for authentication only) would otherwise let a parent register and claim a relationship to a child with no verification that the claim is genuine, before ever touching medical/consent data. The Admin/Teacher verifies this through the same enrolment channel already used for the student, not a separate formal process — proportionate to a small, personally-known membership.</w:t>
      </w:r>
    </w:p>
    <w:p>
      <w:pPr>
        <w:keepNext/>
        <w:spacing w:before="280" w:after="120"/>
        <w:outlineLvl w:val="0"/>
      </w:pPr>
      <w:r>
        <w:rPr>
          <w:rFonts w:ascii="Arial" w:hAnsi="Arial"/>
          <w:b/>
          <w:color w:val="111827"/>
          <w:sz w:val="32"/>
        </w:rPr>
        <w:t>Annex A: Data Protection Impact Assessment (draft)</w:t>
      </w:r>
    </w:p>
    <w:p>
      <w:pPr>
        <w:spacing w:after="80"/>
      </w:pPr>
      <w:r>
        <w:rPr>
          <w:rFonts w:ascii="Arial" w:hAnsi="Arial"/>
          <w:sz w:val="22"/>
        </w:rPr>
        <w:t xml:space="preserve">Status: </w:t>
      </w:r>
      <w:r>
        <w:rPr>
          <w:rFonts w:ascii="Arial" w:hAnsi="Arial"/>
          <w:b/>
          <w:sz w:val="22"/>
        </w:rPr>
        <w:t>draft for Philip's review</w:t>
      </w:r>
      <w:r>
        <w:rPr>
          <w:rFonts w:ascii="Arial" w:hAnsi="Arial"/>
          <w:sz w:val="22"/>
        </w:rPr>
        <w:t xml:space="preserve">, written 13/10/2026 to discharge </w:t>
      </w:r>
      <w:r>
        <w:rPr>
          <w:rFonts w:ascii="Consolas" w:hAnsi="Consolas"/>
          <w:rFonts w:ascii="Consolas" w:hAnsi="Consolas"/>
          <w:sz w:val="20"/>
        </w:rPr>
        <w:t>governance/raid.md</w:t>
      </w:r>
      <w:r>
        <w:rPr>
          <w:rFonts w:ascii="Arial" w:hAnsi="Arial"/>
          <w:sz w:val="22"/>
        </w:rPr>
        <w:t xml:space="preserve"> D-003 (owner: Philip, due before go-live). Structure follows the ICO's DPIA steps (ICO: Data protection impact assessments (https://ico.org.uk/for-organisations/uk-gdpr-guidance-and-resources/accountability-and-governance/data-protection-impact-assessments-dpias/)). This draft states what the system does and what the design already controls. </w:t>
      </w:r>
      <w:r>
        <w:rPr>
          <w:rFonts w:ascii="Arial" w:hAnsi="Arial"/>
          <w:b/>
          <w:sz w:val="22"/>
        </w:rPr>
        <w:t>It does not decide legal questions:</w:t>
      </w:r>
      <w:r>
        <w:rPr>
          <w:rFonts w:ascii="Arial" w:hAnsi="Arial"/>
          <w:sz w:val="22"/>
        </w:rPr>
        <w:t xml:space="preserve"> lawful bases and conditions are proposed for Philip to confirm, with advice if needed, and are marked </w:t>
      </w:r>
      <w:r>
        <w:rPr>
          <w:rFonts w:ascii="Consolas" w:hAnsi="Consolas"/>
          <w:rFonts w:ascii="Consolas" w:hAnsi="Consolas"/>
          <w:sz w:val="20"/>
        </w:rPr>
        <w:t>[TBC – Philip]</w:t>
      </w:r>
      <w:r>
        <w:rPr>
          <w:rFonts w:ascii="Arial" w:hAnsi="Arial"/>
          <w:sz w:val="22"/>
        </w:rPr>
        <w:t>. Nothing here is legal advice.</w:t>
      </w:r>
    </w:p>
    <w:p>
      <w:pPr>
        <w:keepNext/>
        <w:spacing w:before="200" w:after="80"/>
        <w:outlineLvl w:val="1"/>
      </w:pPr>
      <w:r>
        <w:rPr>
          <w:rFonts w:ascii="Arial" w:hAnsi="Arial"/>
          <w:b/>
          <w:color w:val="1F2937"/>
          <w:sz w:val="26"/>
        </w:rPr>
        <w:t>1. Screening: is a DPIA needed?</w:t>
      </w:r>
    </w:p>
    <w:p>
      <w:pPr>
        <w:spacing w:after="80"/>
      </w:pPr>
      <w:r>
        <w:rPr>
          <w:rFonts w:ascii="Arial" w:hAnsi="Arial"/>
          <w:sz w:val="22"/>
        </w:rPr>
        <w:t>The ICO says a DPIA is required for processing likely to result in high risk, and lists examples (ICO: examples of processing likely to result in high risk (https://ico.org.uk/for-organisations/uk-gdpr-guidance-and-resources/accountability-and-governance/data-protection-impact-assessments-dpias/examples-of-processing-likely-to-result-in-high-risk/)). Relevant factors here:</w:t>
      </w:r>
    </w:p>
    <w:p>
      <w:pPr>
        <w:spacing w:after="40"/>
        <w:ind w:left="620" w:hanging="260"/>
      </w:pPr>
      <w:r>
        <w:rPr>
          <w:rFonts w:ascii="Arial" w:hAnsi="Arial"/>
          <w:sz w:val="22"/>
        </w:rPr>
        <w:t xml:space="preserve">•  </w:t>
      </w:r>
      <w:r>
        <w:rPr>
          <w:rFonts w:ascii="Arial" w:hAnsi="Arial"/>
          <w:sz w:val="22"/>
        </w:rPr>
        <w:t>children's personal data (the students), whom the ICO treats as vulnerable;</w:t>
      </w:r>
    </w:p>
    <w:p>
      <w:pPr>
        <w:spacing w:after="40"/>
        <w:ind w:left="620" w:hanging="260"/>
      </w:pPr>
      <w:r>
        <w:rPr>
          <w:rFonts w:ascii="Arial" w:hAnsi="Arial"/>
          <w:sz w:val="22"/>
        </w:rPr>
        <w:t xml:space="preserve">•  </w:t>
      </w:r>
      <w:r>
        <w:rPr>
          <w:rFonts w:ascii="Arial" w:hAnsi="Arial"/>
          <w:sz w:val="22"/>
        </w:rPr>
        <w:t>special category data (health: emergency medical information, dietary and SEN needs);</w:t>
      </w:r>
    </w:p>
    <w:p>
      <w:pPr>
        <w:spacing w:after="40"/>
        <w:ind w:left="620" w:hanging="260"/>
      </w:pPr>
      <w:r>
        <w:rPr>
          <w:rFonts w:ascii="Arial" w:hAnsi="Arial"/>
          <w:sz w:val="22"/>
        </w:rPr>
        <w:t xml:space="preserve">•  </w:t>
      </w:r>
      <w:r>
        <w:rPr>
          <w:rFonts w:ascii="Arial" w:hAnsi="Arial"/>
          <w:sz w:val="22"/>
        </w:rPr>
        <w:t>criminal offence data (DBS check records for adult volunteers);</w:t>
      </w:r>
    </w:p>
    <w:p>
      <w:pPr>
        <w:spacing w:after="40"/>
        <w:ind w:left="620" w:hanging="260"/>
      </w:pPr>
      <w:r>
        <w:rPr>
          <w:rFonts w:ascii="Arial" w:hAnsi="Arial"/>
          <w:sz w:val="22"/>
        </w:rPr>
        <w:t xml:space="preserve">•  </w:t>
      </w:r>
      <w:r>
        <w:rPr>
          <w:rFonts w:ascii="Arial" w:hAnsi="Arial"/>
          <w:sz w:val="22"/>
        </w:rPr>
        <w:t>a decision affecting access to an activity (expired consent blocks lesson completion), although this is a rule applied to a record the club holds, not profiling.</w:t>
      </w:r>
    </w:p>
    <w:p>
      <w:pPr>
        <w:spacing w:after="80"/>
      </w:pPr>
      <w:r>
        <w:rPr>
          <w:rFonts w:ascii="Arial" w:hAnsi="Arial"/>
          <w:sz w:val="22"/>
        </w:rPr>
        <w:t xml:space="preserve">The processing is small in scale (tens of people per role) and is not profiling, marketing or a service offered to children online. Several criteria still apply together, and a breach could cause physical or safeguarding harm (e.g. a child's medical needs or a volunteer's DBS status exposed). </w:t>
      </w:r>
      <w:r>
        <w:rPr>
          <w:rFonts w:ascii="Arial" w:hAnsi="Arial"/>
          <w:b/>
          <w:sz w:val="22"/>
        </w:rPr>
        <w:t>Screening outcome (proposed): carry out a full DPIA.</w:t>
      </w:r>
      <w:r>
        <w:rPr>
          <w:rFonts w:ascii="Arial" w:hAnsi="Arial"/>
          <w:sz w:val="22"/>
        </w:rPr>
        <w:t xml:space="preserve"> This document is that DPIA. </w:t>
      </w:r>
      <w:r>
        <w:rPr>
          <w:rFonts w:ascii="Consolas" w:hAnsi="Consolas"/>
          <w:rFonts w:ascii="Consolas" w:hAnsi="Consolas"/>
          <w:sz w:val="20"/>
        </w:rPr>
        <w:t>[TBC – Philip: confirm]</w:t>
      </w:r>
    </w:p>
    <w:p>
      <w:pPr>
        <w:keepNext/>
        <w:spacing w:before="200" w:after="80"/>
        <w:outlineLvl w:val="1"/>
      </w:pPr>
      <w:r>
        <w:rPr>
          <w:rFonts w:ascii="Arial" w:hAnsi="Arial"/>
          <w:b/>
          <w:color w:val="1F2937"/>
          <w:sz w:val="26"/>
        </w:rPr>
        <w:t>2. The processing</w:t>
      </w:r>
    </w:p>
    <w:p>
      <w:pPr>
        <w:spacing w:after="80"/>
      </w:pPr>
      <w:r>
        <w:rPr>
          <w:rFonts w:ascii="Arial" w:hAnsi="Arial"/>
          <w:b/>
          <w:sz w:val="22"/>
        </w:rPr>
        <w:t>Controller:</w:t>
      </w:r>
      <w:r>
        <w:rPr>
          <w:rFonts w:ascii="Arial" w:hAnsi="Arial"/>
          <w:sz w:val="22"/>
        </w:rPr>
        <w:t xml:space="preserve"> </w:t>
      </w:r>
      <w:r>
        <w:rPr>
          <w:rFonts w:ascii="Consolas" w:hAnsi="Consolas"/>
          <w:rFonts w:ascii="Consolas" w:hAnsi="Consolas"/>
          <w:sz w:val="20"/>
        </w:rPr>
        <w:t>[TBC – Philip: Shrewsbury Orthodox Church, or its trustees/parish council as the legal entity]</w:t>
      </w:r>
      <w:r>
        <w:rPr>
          <w:rFonts w:ascii="Arial" w:hAnsi="Arial"/>
          <w:sz w:val="22"/>
        </w:rPr>
        <w:t>. Varangians is the church's youth club.</w:t>
      </w:r>
    </w:p>
    <w:p>
      <w:pPr>
        <w:spacing w:after="80"/>
      </w:pPr>
      <w:r>
        <w:rPr>
          <w:rFonts w:ascii="Arial" w:hAnsi="Arial"/>
          <w:b/>
          <w:sz w:val="22"/>
        </w:rPr>
        <w:t>Purpose:</w:t>
      </w:r>
      <w:r>
        <w:rPr>
          <w:rFonts w:ascii="Arial" w:hAnsi="Arial"/>
          <w:sz w:val="22"/>
        </w:rPr>
        <w:t xml:space="preserve"> run the youth programme: track lesson completions and rank progression, issue certificates and badges, manage the curriculum, hold annual parental consent and volunteers' DBS checks, keep parents informed, and report on progress and disengagement.</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1163"/>
            <w:shd w:val="clear" w:color="auto" w:fill="374151"/>
          </w:tcPr>
          <w:p>
            <w:pPr>
              <w:spacing w:after="40" w:before="40"/>
            </w:pPr>
            <w:r>
              <w:rPr>
                <w:rFonts w:ascii="Arial" w:hAnsi="Arial"/>
                <w:b/>
                <w:color w:val="FFFFFF"/>
                <w:sz w:val="20"/>
              </w:rPr>
              <w:t>Data subjects</w:t>
            </w:r>
          </w:p>
        </w:tc>
        <w:tc>
          <w:tcPr>
            <w:tcW w:type="dxa" w:w="2693"/>
            <w:shd w:val="clear" w:color="auto" w:fill="374151"/>
          </w:tcPr>
          <w:p>
            <w:pPr>
              <w:spacing w:after="40" w:before="40"/>
            </w:pPr>
            <w:r>
              <w:rPr>
                <w:rFonts w:ascii="Arial" w:hAnsi="Arial"/>
                <w:b/>
                <w:color w:val="FFFFFF"/>
                <w:sz w:val="20"/>
              </w:rPr>
              <w:t>Data</w:t>
            </w:r>
          </w:p>
        </w:tc>
        <w:tc>
          <w:tcPr>
            <w:tcW w:type="dxa" w:w="2475"/>
            <w:shd w:val="clear" w:color="auto" w:fill="374151"/>
          </w:tcPr>
          <w:p>
            <w:pPr>
              <w:spacing w:after="40" w:before="40"/>
            </w:pPr>
            <w:r>
              <w:rPr>
                <w:rFonts w:ascii="Arial" w:hAnsi="Arial"/>
                <w:b/>
                <w:color w:val="FFFFFF"/>
                <w:sz w:val="20"/>
              </w:rPr>
              <w:t>Source</w:t>
            </w:r>
          </w:p>
        </w:tc>
        <w:tc>
          <w:tcPr>
            <w:tcW w:type="dxa" w:w="2695"/>
            <w:shd w:val="clear" w:color="auto" w:fill="374151"/>
          </w:tcPr>
          <w:p>
            <w:pPr>
              <w:spacing w:after="40" w:before="40"/>
            </w:pPr>
            <w:r>
              <w:rPr>
                <w:rFonts w:ascii="Arial" w:hAnsi="Arial"/>
                <w:b/>
                <w:color w:val="FFFFFF"/>
                <w:sz w:val="20"/>
              </w:rPr>
              <w:t>Who can see it</w:t>
            </w:r>
          </w:p>
        </w:tc>
      </w:tr>
      <w:tr>
        <w:tc>
          <w:tcPr>
            <w:tcW w:type="dxa" w:w="1163"/>
            <w:shd w:val="clear" w:color="auto" w:fill="F3F4F6"/>
          </w:tcPr>
          <w:p>
            <w:pPr>
              <w:spacing w:after="40" w:before="40"/>
            </w:pPr>
            <w:r>
              <w:rPr>
                <w:rFonts w:ascii="Arial" w:hAnsi="Arial"/>
                <w:sz w:val="20"/>
              </w:rPr>
              <w:t>Students (children)</w:t>
            </w:r>
          </w:p>
        </w:tc>
        <w:tc>
          <w:tcPr>
            <w:tcW w:type="dxa" w:w="2693"/>
            <w:shd w:val="clear" w:color="auto" w:fill="F3F4F6"/>
          </w:tcPr>
          <w:p>
            <w:pPr>
              <w:spacing w:after="40" w:before="40"/>
            </w:pPr>
            <w:r>
              <w:rPr>
                <w:rFonts w:ascii="Arial" w:hAnsi="Arial"/>
                <w:sz w:val="20"/>
              </w:rPr>
              <w:t>name, date of birth, enrolment date, rank, lesson completions, badges, certificates, status, leaving date</w:t>
            </w:r>
          </w:p>
        </w:tc>
        <w:tc>
          <w:tcPr>
            <w:tcW w:type="dxa" w:w="2475"/>
            <w:shd w:val="clear" w:color="auto" w:fill="F3F4F6"/>
          </w:tcPr>
          <w:p>
            <w:pPr>
              <w:spacing w:after="40" w:before="40"/>
            </w:pPr>
            <w:r>
              <w:rPr>
                <w:rFonts w:ascii="Arial" w:hAnsi="Arial"/>
                <w:sz w:val="20"/>
              </w:rPr>
              <w:t>Teacher/Admin at enrolment; Teachers during sessions</w:t>
            </w:r>
          </w:p>
        </w:tc>
        <w:tc>
          <w:tcPr>
            <w:tcW w:type="dxa" w:w="2695"/>
            <w:shd w:val="clear" w:color="auto" w:fill="F3F4F6"/>
          </w:tcPr>
          <w:p>
            <w:pPr>
              <w:spacing w:after="40" w:before="40"/>
            </w:pPr>
            <w:r>
              <w:rPr>
                <w:rFonts w:ascii="Arial" w:hAnsi="Arial"/>
                <w:sz w:val="20"/>
              </w:rPr>
              <w:t>Teachers, Admin; own parent(s); Approver sees curriculum only</w:t>
            </w:r>
          </w:p>
        </w:tc>
      </w:tr>
      <w:tr>
        <w:tc>
          <w:tcPr>
            <w:tcW w:type="dxa" w:w="1163"/>
            <w:shd w:val="clear" w:color="auto" w:fill="FFFFFF"/>
          </w:tcPr>
          <w:p>
            <w:pPr>
              <w:spacing w:after="40" w:before="40"/>
            </w:pPr>
            <w:r>
              <w:rPr>
                <w:rFonts w:ascii="Arial" w:hAnsi="Arial"/>
                <w:sz w:val="20"/>
              </w:rPr>
              <w:t>Students</w:t>
            </w:r>
          </w:p>
        </w:tc>
        <w:tc>
          <w:tcPr>
            <w:tcW w:type="dxa" w:w="2693"/>
            <w:shd w:val="clear" w:color="auto" w:fill="FFFFFF"/>
          </w:tcPr>
          <w:p>
            <w:pPr>
              <w:spacing w:after="40" w:before="40"/>
            </w:pPr>
            <w:r>
              <w:rPr>
                <w:rFonts w:ascii="Arial" w:hAnsi="Arial"/>
                <w:sz w:val="20"/>
              </w:rPr>
              <w:t>annual consent: photo/media, transport/off-site, data sharing; status and expiry</w:t>
            </w:r>
          </w:p>
        </w:tc>
        <w:tc>
          <w:tcPr>
            <w:tcW w:type="dxa" w:w="2475"/>
            <w:shd w:val="clear" w:color="auto" w:fill="FFFFFF"/>
          </w:tcPr>
          <w:p>
            <w:pPr>
              <w:spacing w:after="40" w:before="40"/>
            </w:pPr>
            <w:r>
              <w:rPr>
                <w:rFonts w:ascii="Arial" w:hAnsi="Arial"/>
                <w:sz w:val="20"/>
              </w:rPr>
              <w:t>Parent (paper or form), recorded by Admin/SO</w:t>
            </w:r>
          </w:p>
        </w:tc>
        <w:tc>
          <w:tcPr>
            <w:tcW w:type="dxa" w:w="2695"/>
            <w:shd w:val="clear" w:color="auto" w:fill="FFFFFF"/>
          </w:tcPr>
          <w:p>
            <w:pPr>
              <w:spacing w:after="40" w:before="40"/>
            </w:pPr>
            <w:r>
              <w:rPr>
                <w:rFonts w:ascii="Arial" w:hAnsi="Arial"/>
                <w:sz w:val="20"/>
              </w:rPr>
              <w:t>Teacher, Approver, Admin, SO; parent</w:t>
            </w:r>
          </w:p>
        </w:tc>
      </w:tr>
      <w:tr>
        <w:tc>
          <w:tcPr>
            <w:tcW w:type="dxa" w:w="1163"/>
            <w:shd w:val="clear" w:color="auto" w:fill="F3F4F6"/>
          </w:tcPr>
          <w:p>
            <w:pPr>
              <w:spacing w:after="40" w:before="40"/>
            </w:pPr>
            <w:r>
              <w:rPr>
                <w:rFonts w:ascii="Arial" w:hAnsi="Arial"/>
                <w:sz w:val="20"/>
              </w:rPr>
              <w:t>Students</w:t>
            </w:r>
          </w:p>
        </w:tc>
        <w:tc>
          <w:tcPr>
            <w:tcW w:type="dxa" w:w="2693"/>
            <w:shd w:val="clear" w:color="auto" w:fill="F3F4F6"/>
          </w:tcPr>
          <w:p>
            <w:pPr>
              <w:spacing w:after="40" w:before="40"/>
            </w:pPr>
            <w:r>
              <w:rPr>
                <w:rFonts w:ascii="Arial" w:hAnsi="Arial"/>
                <w:sz w:val="20"/>
              </w:rPr>
              <w:t>emergency medical information, dietary/SEN needs, emergency contact (ConsentSensitiveDetails)</w:t>
            </w:r>
          </w:p>
        </w:tc>
        <w:tc>
          <w:tcPr>
            <w:tcW w:type="dxa" w:w="2475"/>
            <w:shd w:val="clear" w:color="auto" w:fill="F3F4F6"/>
          </w:tcPr>
          <w:p>
            <w:pPr>
              <w:spacing w:after="40" w:before="40"/>
            </w:pPr>
            <w:r>
              <w:rPr>
                <w:rFonts w:ascii="Arial" w:hAnsi="Arial"/>
                <w:sz w:val="20"/>
              </w:rPr>
              <w:t>Parent</w:t>
            </w:r>
          </w:p>
        </w:tc>
        <w:tc>
          <w:tcPr>
            <w:tcW w:type="dxa" w:w="2695"/>
            <w:shd w:val="clear" w:color="auto" w:fill="F3F4F6"/>
          </w:tcPr>
          <w:p>
            <w:pPr>
              <w:spacing w:after="40" w:before="40"/>
            </w:pPr>
            <w:r>
              <w:rPr>
                <w:rFonts w:ascii="Arial" w:hAnsi="Arial"/>
                <w:sz w:val="20"/>
              </w:rPr>
              <w:t>Admin and Safeguarding Officer only, with MFA; every read audit-logged</w:t>
            </w:r>
          </w:p>
        </w:tc>
      </w:tr>
      <w:tr>
        <w:tc>
          <w:tcPr>
            <w:tcW w:type="dxa" w:w="1163"/>
            <w:shd w:val="clear" w:color="auto" w:fill="FFFFFF"/>
          </w:tcPr>
          <w:p>
            <w:pPr>
              <w:spacing w:after="40" w:before="40"/>
            </w:pPr>
            <w:r>
              <w:rPr>
                <w:rFonts w:ascii="Arial" w:hAnsi="Arial"/>
                <w:sz w:val="20"/>
              </w:rPr>
              <w:t>Parents/guardians</w:t>
            </w:r>
          </w:p>
        </w:tc>
        <w:tc>
          <w:tcPr>
            <w:tcW w:type="dxa" w:w="2693"/>
            <w:shd w:val="clear" w:color="auto" w:fill="FFFFFF"/>
          </w:tcPr>
          <w:p>
            <w:pPr>
              <w:spacing w:after="40" w:before="40"/>
            </w:pPr>
            <w:r>
              <w:rPr>
                <w:rFonts w:ascii="Arial" w:hAnsi="Arial"/>
                <w:sz w:val="20"/>
              </w:rPr>
              <w:t>name, contact details, link to child, account email</w:t>
            </w:r>
          </w:p>
        </w:tc>
        <w:tc>
          <w:tcPr>
            <w:tcW w:type="dxa" w:w="2475"/>
            <w:shd w:val="clear" w:color="auto" w:fill="FFFFFF"/>
          </w:tcPr>
          <w:p>
            <w:pPr>
              <w:spacing w:after="40" w:before="40"/>
            </w:pPr>
            <w:r>
              <w:rPr>
                <w:rFonts w:ascii="Arial" w:hAnsi="Arial"/>
                <w:sz w:val="20"/>
              </w:rPr>
              <w:t>Admin/Teacher at enrolment; parent on accepting invite</w:t>
            </w:r>
          </w:p>
        </w:tc>
        <w:tc>
          <w:tcPr>
            <w:tcW w:type="dxa" w:w="2695"/>
            <w:shd w:val="clear" w:color="auto" w:fill="FFFFFF"/>
          </w:tcPr>
          <w:p>
            <w:pPr>
              <w:spacing w:after="40" w:before="40"/>
            </w:pPr>
            <w:r>
              <w:rPr>
                <w:rFonts w:ascii="Arial" w:hAnsi="Arial"/>
                <w:sz w:val="20"/>
              </w:rPr>
              <w:t>Admin, Teachers</w:t>
            </w:r>
          </w:p>
        </w:tc>
      </w:tr>
      <w:tr>
        <w:tc>
          <w:tcPr>
            <w:tcW w:type="dxa" w:w="1163"/>
            <w:shd w:val="clear" w:color="auto" w:fill="F3F4F6"/>
          </w:tcPr>
          <w:p>
            <w:pPr>
              <w:spacing w:after="40" w:before="40"/>
            </w:pPr>
            <w:r>
              <w:rPr>
                <w:rFonts w:ascii="Arial" w:hAnsi="Arial"/>
                <w:sz w:val="20"/>
              </w:rPr>
              <w:t>Volunteers (teachers)</w:t>
            </w:r>
          </w:p>
        </w:tc>
        <w:tc>
          <w:tcPr>
            <w:tcW w:type="dxa" w:w="2693"/>
            <w:shd w:val="clear" w:color="auto" w:fill="F3F4F6"/>
          </w:tcPr>
          <w:p>
            <w:pPr>
              <w:spacing w:after="40" w:before="40"/>
            </w:pPr>
            <w:r>
              <w:rPr>
                <w:rFonts w:ascii="Arial" w:hAnsi="Arial"/>
                <w:sz w:val="20"/>
              </w:rPr>
              <w:t>name, email, roles, leaving flag</w:t>
            </w:r>
          </w:p>
        </w:tc>
        <w:tc>
          <w:tcPr>
            <w:tcW w:type="dxa" w:w="2475"/>
            <w:shd w:val="clear" w:color="auto" w:fill="F3F4F6"/>
          </w:tcPr>
          <w:p>
            <w:pPr>
              <w:spacing w:after="40" w:before="40"/>
            </w:pPr>
            <w:r>
              <w:rPr>
                <w:rFonts w:ascii="Arial" w:hAnsi="Arial"/>
                <w:sz w:val="20"/>
              </w:rPr>
              <w:t>Admin</w:t>
            </w:r>
          </w:p>
        </w:tc>
        <w:tc>
          <w:tcPr>
            <w:tcW w:type="dxa" w:w="2695"/>
            <w:shd w:val="clear" w:color="auto" w:fill="F3F4F6"/>
          </w:tcPr>
          <w:p>
            <w:pPr>
              <w:spacing w:after="40" w:before="40"/>
            </w:pPr>
            <w:r>
              <w:rPr>
                <w:rFonts w:ascii="Arial" w:hAnsi="Arial"/>
                <w:sz w:val="20"/>
              </w:rPr>
              <w:t>Admin</w:t>
            </w:r>
          </w:p>
        </w:tc>
      </w:tr>
      <w:tr>
        <w:tc>
          <w:tcPr>
            <w:tcW w:type="dxa" w:w="1163"/>
            <w:shd w:val="clear" w:color="auto" w:fill="FFFFFF"/>
          </w:tcPr>
          <w:p>
            <w:pPr>
              <w:spacing w:after="40" w:before="40"/>
            </w:pPr>
            <w:r>
              <w:rPr>
                <w:rFonts w:ascii="Arial" w:hAnsi="Arial"/>
                <w:sz w:val="20"/>
              </w:rPr>
              <w:t>Volunteers</w:t>
            </w:r>
          </w:p>
        </w:tc>
        <w:tc>
          <w:tcPr>
            <w:tcW w:type="dxa" w:w="2693"/>
            <w:shd w:val="clear" w:color="auto" w:fill="FFFFFF"/>
          </w:tcPr>
          <w:p>
            <w:pPr>
              <w:spacing w:after="40" w:before="40"/>
            </w:pPr>
            <w:r>
              <w:rPr>
                <w:rFonts w:ascii="Arial" w:hAnsi="Arial"/>
                <w:sz w:val="20"/>
              </w:rPr>
              <w:t>DBS check: date, expiry, certificate number, status (DbsCheck)</w:t>
            </w:r>
          </w:p>
        </w:tc>
        <w:tc>
          <w:tcPr>
            <w:tcW w:type="dxa" w:w="2475"/>
            <w:shd w:val="clear" w:color="auto" w:fill="FFFFFF"/>
          </w:tcPr>
          <w:p>
            <w:pPr>
              <w:spacing w:after="40" w:before="40"/>
            </w:pPr>
            <w:r>
              <w:rPr>
                <w:rFonts w:ascii="Arial" w:hAnsi="Arial"/>
                <w:sz w:val="20"/>
              </w:rPr>
              <w:t>Admin/SO from the DBS certificate</w:t>
            </w:r>
          </w:p>
        </w:tc>
        <w:tc>
          <w:tcPr>
            <w:tcW w:type="dxa" w:w="2695"/>
            <w:shd w:val="clear" w:color="auto" w:fill="FFFFFF"/>
          </w:tcPr>
          <w:p>
            <w:pPr>
              <w:spacing w:after="40" w:before="40"/>
            </w:pPr>
            <w:r>
              <w:rPr>
                <w:rFonts w:ascii="Arial" w:hAnsi="Arial"/>
                <w:sz w:val="20"/>
              </w:rPr>
              <w:t>Admin and Safeguarding Officer only, with MFA; every read audit-logged</w:t>
            </w:r>
          </w:p>
        </w:tc>
      </w:tr>
      <w:tr>
        <w:tc>
          <w:tcPr>
            <w:tcW w:type="dxa" w:w="1163"/>
            <w:shd w:val="clear" w:color="auto" w:fill="F3F4F6"/>
          </w:tcPr>
          <w:p>
            <w:pPr>
              <w:spacing w:after="40" w:before="40"/>
            </w:pPr>
            <w:r>
              <w:rPr>
                <w:rFonts w:ascii="Arial" w:hAnsi="Arial"/>
                <w:sz w:val="20"/>
              </w:rPr>
              <w:t>All users</w:t>
            </w:r>
          </w:p>
        </w:tc>
        <w:tc>
          <w:tcPr>
            <w:tcW w:type="dxa" w:w="2693"/>
            <w:shd w:val="clear" w:color="auto" w:fill="F3F4F6"/>
          </w:tcPr>
          <w:p>
            <w:pPr>
              <w:spacing w:after="40" w:before="40"/>
            </w:pPr>
            <w:r>
              <w:rPr>
                <w:rFonts w:ascii="Arial" w:hAnsi="Arial"/>
                <w:sz w:val="20"/>
              </w:rPr>
              <w:t>sign-in data: email, password hash, MFA secret, lockout state; access log of sensitive reads</w:t>
            </w:r>
          </w:p>
        </w:tc>
        <w:tc>
          <w:tcPr>
            <w:tcW w:type="dxa" w:w="2475"/>
            <w:shd w:val="clear" w:color="auto" w:fill="F3F4F6"/>
          </w:tcPr>
          <w:p>
            <w:pPr>
              <w:spacing w:after="40" w:before="40"/>
            </w:pPr>
            <w:r>
              <w:rPr>
                <w:rFonts w:ascii="Arial" w:hAnsi="Arial"/>
                <w:sz w:val="20"/>
              </w:rPr>
              <w:t>the system</w:t>
            </w:r>
          </w:p>
        </w:tc>
        <w:tc>
          <w:tcPr>
            <w:tcW w:type="dxa" w:w="2695"/>
            <w:shd w:val="clear" w:color="auto" w:fill="F3F4F6"/>
          </w:tcPr>
          <w:p>
            <w:pPr>
              <w:spacing w:after="40" w:before="40"/>
            </w:pPr>
            <w:r>
              <w:rPr>
                <w:rFonts w:ascii="Arial" w:hAnsi="Arial"/>
                <w:sz w:val="20"/>
              </w:rPr>
              <w:t>Admin (audit log); SO</w:t>
            </w:r>
          </w:p>
        </w:tc>
      </w:tr>
    </w:tbl>
    <w:p>
      <w:pPr>
        <w:spacing w:after="80"/>
      </w:pPr>
    </w:p>
    <w:p>
      <w:pPr>
        <w:spacing w:after="80"/>
      </w:pPr>
      <w:r>
        <w:rPr>
          <w:rFonts w:ascii="Arial" w:hAnsi="Arial"/>
          <w:sz w:val="22"/>
        </w:rPr>
        <w:t>Volume: tens of students, parents and volunteers (</w:t>
      </w:r>
      <w:r>
        <w:rPr>
          <w:rFonts w:ascii="Consolas" w:hAnsi="Consolas"/>
          <w:rFonts w:ascii="Consolas" w:hAnsi="Consolas"/>
          <w:sz w:val="20"/>
        </w:rPr>
        <w:t>governance/raid.md</w:t>
      </w:r>
      <w:r>
        <w:rPr>
          <w:rFonts w:ascii="Arial" w:hAnsi="Arial"/>
          <w:sz w:val="22"/>
        </w:rPr>
        <w:t xml:space="preserve"> A-002).</w:t>
      </w:r>
    </w:p>
    <w:p>
      <w:pPr>
        <w:spacing w:after="80"/>
      </w:pPr>
      <w:r>
        <w:rPr>
          <w:rFonts w:ascii="Arial" w:hAnsi="Arial"/>
          <w:b/>
          <w:sz w:val="22"/>
        </w:rPr>
        <w:t>Not collected:</w:t>
      </w:r>
      <w:r>
        <w:rPr>
          <w:rFonts w:ascii="Arial" w:hAnsi="Arial"/>
          <w:sz w:val="22"/>
        </w:rPr>
        <w:t xml:space="preserve"> religion is not recorded as a field, although membership of a church youth club may itself reveal religious belief. </w:t>
      </w:r>
      <w:r>
        <w:rPr>
          <w:rFonts w:ascii="Consolas" w:hAnsi="Consolas"/>
          <w:rFonts w:ascii="Consolas" w:hAnsi="Consolas"/>
          <w:sz w:val="20"/>
        </w:rPr>
        <w:t>[TBC – Philip: whether to treat membership as special category data]</w:t>
      </w:r>
      <w:r>
        <w:rPr>
          <w:rFonts w:ascii="Arial" w:hAnsi="Arial"/>
          <w:sz w:val="22"/>
        </w:rPr>
        <w:t>. No photos are stored. No DBS certificate images are stored, only the certificate number and dates.</w:t>
      </w:r>
    </w:p>
    <w:p>
      <w:pPr>
        <w:spacing w:after="80"/>
      </w:pPr>
      <w:r>
        <w:rPr>
          <w:rFonts w:ascii="Arial" w:hAnsi="Arial"/>
          <w:b/>
          <w:sz w:val="22"/>
        </w:rPr>
        <w:t>Processors and locations:</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2739"/>
            <w:shd w:val="clear" w:color="auto" w:fill="374151"/>
          </w:tcPr>
          <w:p>
            <w:pPr>
              <w:spacing w:after="40" w:before="40"/>
            </w:pPr>
            <w:r>
              <w:rPr>
                <w:rFonts w:ascii="Arial" w:hAnsi="Arial"/>
                <w:b/>
                <w:color w:val="FFFFFF"/>
                <w:sz w:val="20"/>
              </w:rPr>
              <w:t>Processor</w:t>
            </w:r>
          </w:p>
        </w:tc>
        <w:tc>
          <w:tcPr>
            <w:tcW w:type="dxa" w:w="3448"/>
            <w:shd w:val="clear" w:color="auto" w:fill="374151"/>
          </w:tcPr>
          <w:p>
            <w:pPr>
              <w:spacing w:after="40" w:before="40"/>
            </w:pPr>
            <w:r>
              <w:rPr>
                <w:rFonts w:ascii="Arial" w:hAnsi="Arial"/>
                <w:b/>
                <w:color w:val="FFFFFF"/>
                <w:sz w:val="20"/>
              </w:rPr>
              <w:t>What</w:t>
            </w:r>
          </w:p>
        </w:tc>
        <w:tc>
          <w:tcPr>
            <w:tcW w:type="dxa" w:w="2839"/>
            <w:shd w:val="clear" w:color="auto" w:fill="374151"/>
          </w:tcPr>
          <w:p>
            <w:pPr>
              <w:spacing w:after="40" w:before="40"/>
            </w:pPr>
            <w:r>
              <w:rPr>
                <w:rFonts w:ascii="Arial" w:hAnsi="Arial"/>
                <w:b/>
                <w:color w:val="FFFFFF"/>
                <w:sz w:val="20"/>
              </w:rPr>
              <w:t>Location</w:t>
            </w:r>
          </w:p>
        </w:tc>
      </w:tr>
      <w:tr>
        <w:tc>
          <w:tcPr>
            <w:tcW w:type="dxa" w:w="2739"/>
            <w:shd w:val="clear" w:color="auto" w:fill="F3F4F6"/>
          </w:tcPr>
          <w:p>
            <w:pPr>
              <w:spacing w:after="40" w:before="40"/>
            </w:pPr>
            <w:r>
              <w:rPr>
                <w:rFonts w:ascii="Arial" w:hAnsi="Arial"/>
                <w:sz w:val="20"/>
              </w:rPr>
              <w:t>DigitalOcean</w:t>
            </w:r>
          </w:p>
        </w:tc>
        <w:tc>
          <w:tcPr>
            <w:tcW w:type="dxa" w:w="3448"/>
            <w:shd w:val="clear" w:color="auto" w:fill="F3F4F6"/>
          </w:tcPr>
          <w:p>
            <w:pPr>
              <w:spacing w:after="40" w:before="40"/>
            </w:pPr>
            <w:r>
              <w:rPr>
                <w:rFonts w:ascii="Arial" w:hAnsi="Arial"/>
                <w:sz w:val="20"/>
              </w:rPr>
              <w:t>VPS hosting: the database and files</w:t>
            </w:r>
          </w:p>
        </w:tc>
        <w:tc>
          <w:tcPr>
            <w:tcW w:type="dxa" w:w="2839"/>
            <w:shd w:val="clear" w:color="auto" w:fill="F3F4F6"/>
          </w:tcPr>
          <w:p>
            <w:pPr>
              <w:spacing w:after="40" w:before="40"/>
            </w:pPr>
            <w:r>
              <w:rPr>
                <w:rFonts w:ascii="Arial" w:hAnsi="Arial"/>
                <w:sz w:val="20"/>
              </w:rPr>
              <w:t>London (LON1)</w:t>
            </w:r>
          </w:p>
        </w:tc>
      </w:tr>
      <w:tr>
        <w:tc>
          <w:tcPr>
            <w:tcW w:type="dxa" w:w="2739"/>
            <w:shd w:val="clear" w:color="auto" w:fill="FFFFFF"/>
          </w:tcPr>
          <w:p>
            <w:pPr>
              <w:spacing w:after="40" w:before="40"/>
            </w:pPr>
            <w:r>
              <w:rPr>
                <w:rFonts w:ascii="Arial" w:hAnsi="Arial"/>
                <w:sz w:val="20"/>
              </w:rPr>
              <w:t>Cloudflare (R2)</w:t>
            </w:r>
          </w:p>
        </w:tc>
        <w:tc>
          <w:tcPr>
            <w:tcW w:type="dxa" w:w="3448"/>
            <w:shd w:val="clear" w:color="auto" w:fill="FFFFFF"/>
          </w:tcPr>
          <w:p>
            <w:pPr>
              <w:spacing w:after="40" w:before="40"/>
            </w:pPr>
            <w:r>
              <w:rPr>
                <w:rFonts w:ascii="Arial" w:hAnsi="Arial"/>
                <w:sz w:val="20"/>
              </w:rPr>
              <w:t>encrypted-in-transit off-box backups: database dumps and certificate PDFs</w:t>
            </w:r>
          </w:p>
        </w:tc>
        <w:tc>
          <w:tcPr>
            <w:tcW w:type="dxa" w:w="2839"/>
            <w:shd w:val="clear" w:color="auto" w:fill="FFFFFF"/>
          </w:tcPr>
          <w:p>
            <w:pPr>
              <w:spacing w:after="40" w:before="40"/>
            </w:pPr>
            <w:r>
              <w:rPr>
                <w:rFonts w:ascii="Arial" w:hAnsi="Arial"/>
                <w:sz w:val="20"/>
              </w:rPr>
              <w:t>[TBC – Philip: R2 location hint / jurisdiction]</w:t>
            </w:r>
          </w:p>
        </w:tc>
      </w:tr>
      <w:tr>
        <w:tc>
          <w:tcPr>
            <w:tcW w:type="dxa" w:w="2739"/>
            <w:shd w:val="clear" w:color="auto" w:fill="F3F4F6"/>
          </w:tcPr>
          <w:p>
            <w:pPr>
              <w:spacing w:after="40" w:before="40"/>
            </w:pPr>
            <w:r>
              <w:rPr>
                <w:rFonts w:ascii="Arial" w:hAnsi="Arial"/>
                <w:sz w:val="20"/>
              </w:rPr>
              <w:t>Microsoft (the church's Microsoft 365 tenant)</w:t>
            </w:r>
          </w:p>
        </w:tc>
        <w:tc>
          <w:tcPr>
            <w:tcW w:type="dxa" w:w="3448"/>
            <w:shd w:val="clear" w:color="auto" w:fill="F3F4F6"/>
          </w:tcPr>
          <w:p>
            <w:pPr>
              <w:spacing w:after="40" w:before="40"/>
            </w:pPr>
            <w:r>
              <w:rPr>
                <w:rFonts w:ascii="Arial" w:hAnsi="Arial"/>
                <w:sz w:val="20"/>
              </w:rPr>
              <w:t>outbound email via Graph</w:t>
            </w:r>
          </w:p>
        </w:tc>
        <w:tc>
          <w:tcPr>
            <w:tcW w:type="dxa" w:w="2839"/>
            <w:shd w:val="clear" w:color="auto" w:fill="F3F4F6"/>
          </w:tcPr>
          <w:p>
            <w:pPr>
              <w:spacing w:after="40" w:before="40"/>
            </w:pPr>
            <w:r>
              <w:rPr>
                <w:rFonts w:ascii="Arial" w:hAnsi="Arial"/>
                <w:sz w:val="20"/>
              </w:rPr>
              <w:t>[TBC – Philip: tenant data location]</w:t>
            </w:r>
          </w:p>
        </w:tc>
      </w:tr>
      <w:tr>
        <w:tc>
          <w:tcPr>
            <w:tcW w:type="dxa" w:w="2739"/>
            <w:shd w:val="clear" w:color="auto" w:fill="FFFFFF"/>
          </w:tcPr>
          <w:p>
            <w:pPr>
              <w:spacing w:after="40" w:before="40"/>
            </w:pPr>
            <w:r>
              <w:rPr>
                <w:rFonts w:ascii="Arial" w:hAnsi="Arial"/>
                <w:sz w:val="20"/>
              </w:rPr>
              <w:t>Hostinger</w:t>
            </w:r>
          </w:p>
        </w:tc>
        <w:tc>
          <w:tcPr>
            <w:tcW w:type="dxa" w:w="3448"/>
            <w:shd w:val="clear" w:color="auto" w:fill="FFFFFF"/>
          </w:tcPr>
          <w:p>
            <w:pPr>
              <w:spacing w:after="40" w:before="40"/>
            </w:pPr>
            <w:r>
              <w:rPr>
                <w:rFonts w:ascii="Arial" w:hAnsi="Arial"/>
                <w:sz w:val="20"/>
              </w:rPr>
              <w:t>DNS only; no personal data</w:t>
            </w:r>
          </w:p>
        </w:tc>
        <w:tc>
          <w:tcPr>
            <w:tcW w:type="dxa" w:w="2839"/>
            <w:shd w:val="clear" w:color="auto" w:fill="FFFFFF"/>
          </w:tcPr>
          <w:p>
            <w:pPr>
              <w:spacing w:after="40" w:before="40"/>
            </w:pPr>
            <w:r>
              <w:rPr>
                <w:rFonts w:ascii="Arial" w:hAnsi="Arial"/>
                <w:sz w:val="20"/>
              </w:rPr>
              <w:t>—</w:t>
            </w:r>
          </w:p>
        </w:tc>
      </w:tr>
    </w:tbl>
    <w:p>
      <w:pPr>
        <w:spacing w:after="80"/>
      </w:pPr>
    </w:p>
    <w:p>
      <w:pPr>
        <w:spacing w:after="80"/>
      </w:pPr>
      <w:r>
        <w:rPr>
          <w:rFonts w:ascii="Arial" w:hAnsi="Arial"/>
          <w:sz w:val="22"/>
        </w:rPr>
        <w:t xml:space="preserve">Data processing terms with each: </w:t>
      </w:r>
      <w:r>
        <w:rPr>
          <w:rFonts w:ascii="Consolas" w:hAnsi="Consolas"/>
          <w:rFonts w:ascii="Consolas" w:hAnsi="Consolas"/>
          <w:sz w:val="20"/>
        </w:rPr>
        <w:t>[TBC – Philip: confirm each provider's standard DPA applies and record it]</w:t>
      </w:r>
      <w:r>
        <w:rPr>
          <w:rFonts w:ascii="Arial" w:hAnsi="Arial"/>
          <w:sz w:val="22"/>
        </w:rPr>
        <w:t xml:space="preserve">. International transfers: </w:t>
      </w:r>
      <w:r>
        <w:rPr>
          <w:rFonts w:ascii="Consolas" w:hAnsi="Consolas"/>
          <w:rFonts w:ascii="Consolas" w:hAnsi="Consolas"/>
          <w:sz w:val="20"/>
        </w:rPr>
        <w:t>[TBC – Philip]</w:t>
      </w:r>
      <w:r>
        <w:rPr>
          <w:rFonts w:ascii="Arial" w:hAnsi="Arial"/>
          <w:sz w:val="22"/>
        </w:rPr>
        <w:t xml:space="preserve"> (depends on the R2 and Microsoft locations above).</w:t>
      </w:r>
    </w:p>
    <w:p>
      <w:pPr>
        <w:keepNext/>
        <w:spacing w:before="200" w:after="80"/>
        <w:outlineLvl w:val="1"/>
      </w:pPr>
      <w:r>
        <w:rPr>
          <w:rFonts w:ascii="Arial" w:hAnsi="Arial"/>
          <w:b/>
          <w:color w:val="1F2937"/>
          <w:sz w:val="26"/>
        </w:rPr>
        <w:t>3. Lawful basis (proposed, for Philip to confirm)</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3157"/>
            <w:shd w:val="clear" w:color="auto" w:fill="374151"/>
          </w:tcPr>
          <w:p>
            <w:pPr>
              <w:spacing w:after="40" w:before="40"/>
            </w:pPr>
            <w:r>
              <w:rPr>
                <w:rFonts w:ascii="Arial" w:hAnsi="Arial"/>
                <w:b/>
                <w:color w:val="FFFFFF"/>
                <w:sz w:val="20"/>
              </w:rPr>
              <w:t>Processing</w:t>
            </w:r>
          </w:p>
        </w:tc>
        <w:tc>
          <w:tcPr>
            <w:tcW w:type="dxa" w:w="2623"/>
            <w:shd w:val="clear" w:color="auto" w:fill="374151"/>
          </w:tcPr>
          <w:p>
            <w:pPr>
              <w:spacing w:after="40" w:before="40"/>
            </w:pPr>
            <w:r>
              <w:rPr>
                <w:rFonts w:ascii="Arial" w:hAnsi="Arial"/>
                <w:b/>
                <w:color w:val="FFFFFF"/>
                <w:sz w:val="20"/>
              </w:rPr>
              <w:t>Article 6 basis (proposed)</w:t>
            </w:r>
          </w:p>
        </w:tc>
        <w:tc>
          <w:tcPr>
            <w:tcW w:type="dxa" w:w="3246"/>
            <w:shd w:val="clear" w:color="auto" w:fill="374151"/>
          </w:tcPr>
          <w:p>
            <w:pPr>
              <w:spacing w:after="40" w:before="40"/>
            </w:pPr>
            <w:r>
              <w:rPr>
                <w:rFonts w:ascii="Arial" w:hAnsi="Arial"/>
                <w:b/>
                <w:color w:val="FFFFFF"/>
                <w:sz w:val="20"/>
              </w:rPr>
              <w:t>Article 9 / 10 condition (proposed)</w:t>
            </w:r>
          </w:p>
        </w:tc>
      </w:tr>
      <w:tr>
        <w:tc>
          <w:tcPr>
            <w:tcW w:type="dxa" w:w="3157"/>
            <w:shd w:val="clear" w:color="auto" w:fill="F3F4F6"/>
          </w:tcPr>
          <w:p>
            <w:pPr>
              <w:spacing w:after="40" w:before="40"/>
            </w:pPr>
            <w:r>
              <w:rPr>
                <w:rFonts w:ascii="Arial" w:hAnsi="Arial"/>
                <w:sz w:val="20"/>
              </w:rPr>
              <w:t>Student and parent records, progress, certificates</w:t>
            </w:r>
          </w:p>
        </w:tc>
        <w:tc>
          <w:tcPr>
            <w:tcW w:type="dxa" w:w="2623"/>
            <w:shd w:val="clear" w:color="auto" w:fill="F3F4F6"/>
          </w:tcPr>
          <w:p>
            <w:pPr>
              <w:spacing w:after="40" w:before="40"/>
            </w:pPr>
            <w:r>
              <w:rPr>
                <w:rFonts w:ascii="Arial" w:hAnsi="Arial"/>
                <w:sz w:val="20"/>
              </w:rPr>
              <w:t>legitimate interests in running the club [TBC]</w:t>
            </w:r>
          </w:p>
        </w:tc>
        <w:tc>
          <w:tcPr>
            <w:tcW w:type="dxa" w:w="3246"/>
            <w:shd w:val="clear" w:color="auto" w:fill="F3F4F6"/>
          </w:tcPr>
          <w:p>
            <w:pPr>
              <w:spacing w:after="40" w:before="40"/>
            </w:pPr>
            <w:r>
              <w:rPr>
                <w:rFonts w:ascii="Arial" w:hAnsi="Arial"/>
                <w:sz w:val="20"/>
              </w:rPr>
              <w:t>n/a</w:t>
            </w:r>
          </w:p>
        </w:tc>
      </w:tr>
      <w:tr>
        <w:tc>
          <w:tcPr>
            <w:tcW w:type="dxa" w:w="3157"/>
            <w:shd w:val="clear" w:color="auto" w:fill="FFFFFF"/>
          </w:tcPr>
          <w:p>
            <w:pPr>
              <w:spacing w:after="40" w:before="40"/>
            </w:pPr>
            <w:r>
              <w:rPr>
                <w:rFonts w:ascii="Arial" w:hAnsi="Arial"/>
                <w:sz w:val="20"/>
              </w:rPr>
              <w:t>Consent-dependent activities (photos, trips, data sharing)</w:t>
            </w:r>
          </w:p>
        </w:tc>
        <w:tc>
          <w:tcPr>
            <w:tcW w:type="dxa" w:w="2623"/>
            <w:shd w:val="clear" w:color="auto" w:fill="FFFFFF"/>
          </w:tcPr>
          <w:p>
            <w:pPr>
              <w:spacing w:after="40" w:before="40"/>
            </w:pPr>
            <w:r>
              <w:rPr>
                <w:rFonts w:ascii="Arial" w:hAnsi="Arial"/>
                <w:sz w:val="20"/>
              </w:rPr>
              <w:t>consent, given by the parent annually</w:t>
            </w:r>
          </w:p>
        </w:tc>
        <w:tc>
          <w:tcPr>
            <w:tcW w:type="dxa" w:w="3246"/>
            <w:shd w:val="clear" w:color="auto" w:fill="FFFFFF"/>
          </w:tcPr>
          <w:p>
            <w:pPr>
              <w:spacing w:after="40" w:before="40"/>
            </w:pPr>
            <w:r>
              <w:rPr>
                <w:rFonts w:ascii="Arial" w:hAnsi="Arial"/>
                <w:sz w:val="20"/>
              </w:rPr>
              <w:t>n/a</w:t>
            </w:r>
          </w:p>
        </w:tc>
      </w:tr>
      <w:tr>
        <w:tc>
          <w:tcPr>
            <w:tcW w:type="dxa" w:w="3157"/>
            <w:shd w:val="clear" w:color="auto" w:fill="F3F4F6"/>
          </w:tcPr>
          <w:p>
            <w:pPr>
              <w:spacing w:after="40" w:before="40"/>
            </w:pPr>
            <w:r>
              <w:rPr>
                <w:rFonts w:ascii="Arial" w:hAnsi="Arial"/>
                <w:sz w:val="20"/>
              </w:rPr>
              <w:t>Medical, dietary/SEN, emergency contact</w:t>
            </w:r>
          </w:p>
        </w:tc>
        <w:tc>
          <w:tcPr>
            <w:tcW w:type="dxa" w:w="2623"/>
            <w:shd w:val="clear" w:color="auto" w:fill="F3F4F6"/>
          </w:tcPr>
          <w:p>
            <w:pPr>
              <w:spacing w:after="40" w:before="40"/>
            </w:pPr>
            <w:r>
              <w:rPr>
                <w:rFonts w:ascii="Arial" w:hAnsi="Arial"/>
                <w:sz w:val="20"/>
              </w:rPr>
              <w:t>legitimate interests [TBC]</w:t>
            </w:r>
          </w:p>
        </w:tc>
        <w:tc>
          <w:tcPr>
            <w:tcW w:type="dxa" w:w="3246"/>
            <w:shd w:val="clear" w:color="auto" w:fill="F3F4F6"/>
          </w:tcPr>
          <w:p>
            <w:pPr>
              <w:spacing w:after="40" w:before="40"/>
            </w:pPr>
            <w:r>
              <w:rPr>
                <w:rFonts w:ascii="Arial" w:hAnsi="Arial"/>
                <w:sz w:val="20"/>
              </w:rPr>
              <w:t>Art 9(2)(d), not-for-profit body with a religious aim, processing about members or people in regular contact, not disclosed outside without consent (ICO: conditions for processing (https://ico.org.uk/for-organisations/uk-gdpr-guidance-and-resources/lawful-basis/special-category-data/what-are-the-conditions-for-processing/)); or explicit parental consent, Art 9(2)(a) [TBC – Philip]</w:t>
            </w:r>
          </w:p>
        </w:tc>
      </w:tr>
      <w:tr>
        <w:tc>
          <w:tcPr>
            <w:tcW w:type="dxa" w:w="3157"/>
            <w:shd w:val="clear" w:color="auto" w:fill="FFFFFF"/>
          </w:tcPr>
          <w:p>
            <w:pPr>
              <w:spacing w:after="40" w:before="40"/>
            </w:pPr>
            <w:r>
              <w:rPr>
                <w:rFonts w:ascii="Arial" w:hAnsi="Arial"/>
                <w:sz w:val="20"/>
              </w:rPr>
              <w:t>DBS check records</w:t>
            </w:r>
          </w:p>
        </w:tc>
        <w:tc>
          <w:tcPr>
            <w:tcW w:type="dxa" w:w="2623"/>
            <w:shd w:val="clear" w:color="auto" w:fill="FFFFFF"/>
          </w:tcPr>
          <w:p>
            <w:pPr>
              <w:spacing w:after="40" w:before="40"/>
            </w:pPr>
            <w:r>
              <w:rPr>
                <w:rFonts w:ascii="Arial" w:hAnsi="Arial"/>
                <w:sz w:val="20"/>
              </w:rPr>
              <w:t>legitimate interests / legal obligation [TBC]</w:t>
            </w:r>
          </w:p>
        </w:tc>
        <w:tc>
          <w:tcPr>
            <w:tcW w:type="dxa" w:w="3246"/>
            <w:shd w:val="clear" w:color="auto" w:fill="FFFFFF"/>
          </w:tcPr>
          <w:p>
            <w:pPr>
              <w:spacing w:after="40" w:before="40"/>
            </w:pPr>
            <w:r>
              <w:rPr>
                <w:rFonts w:ascii="Arial" w:hAnsi="Arial"/>
                <w:sz w:val="20"/>
              </w:rPr>
              <w:t>criminal offence data needs a DPA 2018 Schedule 1 condition; the safeguarding-of-children condition is the likely candidate and needs an appropriate policy document [TBC – Philip: verify condition and write the policy document]</w:t>
            </w:r>
          </w:p>
        </w:tc>
      </w:tr>
      <w:tr>
        <w:tc>
          <w:tcPr>
            <w:tcW w:type="dxa" w:w="3157"/>
            <w:shd w:val="clear" w:color="auto" w:fill="F3F4F6"/>
          </w:tcPr>
          <w:p>
            <w:pPr>
              <w:spacing w:after="40" w:before="40"/>
            </w:pPr>
            <w:r>
              <w:rPr>
                <w:rFonts w:ascii="Arial" w:hAnsi="Arial"/>
                <w:sz w:val="20"/>
              </w:rPr>
              <w:t>Emails to parents and volunteers</w:t>
            </w:r>
          </w:p>
        </w:tc>
        <w:tc>
          <w:tcPr>
            <w:tcW w:type="dxa" w:w="2623"/>
            <w:shd w:val="clear" w:color="auto" w:fill="F3F4F6"/>
          </w:tcPr>
          <w:p>
            <w:pPr>
              <w:spacing w:after="40" w:before="40"/>
            </w:pPr>
            <w:r>
              <w:rPr>
                <w:rFonts w:ascii="Arial" w:hAnsi="Arial"/>
                <w:sz w:val="20"/>
              </w:rPr>
              <w:t>legitimate interests</w:t>
            </w:r>
          </w:p>
        </w:tc>
        <w:tc>
          <w:tcPr>
            <w:tcW w:type="dxa" w:w="3246"/>
            <w:shd w:val="clear" w:color="auto" w:fill="F3F4F6"/>
          </w:tcPr>
          <w:p>
            <w:pPr>
              <w:spacing w:after="40" w:before="40"/>
            </w:pPr>
            <w:r>
              <w:rPr>
                <w:rFonts w:ascii="Arial" w:hAnsi="Arial"/>
                <w:sz w:val="20"/>
              </w:rPr>
              <w:t>n/a</w:t>
            </w:r>
          </w:p>
        </w:tc>
      </w:tr>
    </w:tbl>
    <w:p>
      <w:pPr>
        <w:spacing w:after="80"/>
      </w:pPr>
    </w:p>
    <w:p>
      <w:pPr>
        <w:keepNext/>
        <w:spacing w:before="200" w:after="80"/>
        <w:outlineLvl w:val="1"/>
      </w:pPr>
      <w:r>
        <w:rPr>
          <w:rFonts w:ascii="Arial" w:hAnsi="Arial"/>
          <w:b/>
          <w:color w:val="1F2937"/>
          <w:sz w:val="26"/>
        </w:rPr>
        <w:t>4. Necessity and proportionality</w:t>
      </w:r>
    </w:p>
    <w:p>
      <w:pPr>
        <w:spacing w:after="40"/>
        <w:ind w:left="620" w:hanging="260"/>
      </w:pPr>
      <w:r>
        <w:rPr>
          <w:rFonts w:ascii="Arial" w:hAnsi="Arial"/>
          <w:sz w:val="22"/>
        </w:rPr>
        <w:t xml:space="preserve">•  </w:t>
      </w:r>
      <w:r>
        <w:rPr>
          <w:rFonts w:ascii="Arial" w:hAnsi="Arial"/>
          <w:b/>
          <w:sz w:val="22"/>
        </w:rPr>
        <w:t>Minimisation:</w:t>
      </w:r>
      <w:r>
        <w:rPr>
          <w:rFonts w:ascii="Arial" w:hAnsi="Arial"/>
          <w:sz w:val="22"/>
        </w:rPr>
        <w:t xml:space="preserve"> only the fields above; consent categories match the club's paper form; no photo storage; DBS certificate number and dates only.</w:t>
      </w:r>
    </w:p>
    <w:p>
      <w:pPr>
        <w:spacing w:after="40"/>
        <w:ind w:left="620" w:hanging="260"/>
      </w:pPr>
      <w:r>
        <w:rPr>
          <w:rFonts w:ascii="Arial" w:hAnsi="Arial"/>
          <w:sz w:val="22"/>
        </w:rPr>
        <w:t xml:space="preserve">•  </w:t>
      </w:r>
      <w:r>
        <w:rPr>
          <w:rFonts w:ascii="Arial" w:hAnsi="Arial"/>
          <w:b/>
          <w:sz w:val="22"/>
        </w:rPr>
        <w:t>Accuracy:</w:t>
      </w:r>
      <w:r>
        <w:rPr>
          <w:rFonts w:ascii="Arial" w:hAnsi="Arial"/>
          <w:sz w:val="22"/>
        </w:rPr>
        <w:t xml:space="preserve"> Admin/SO record consent and DBS; Teachers can reverse their own completion entries; parents see their child's record and can ask for corrections.</w:t>
      </w:r>
    </w:p>
    <w:p>
      <w:pPr>
        <w:spacing w:after="40"/>
        <w:ind w:left="620" w:hanging="260"/>
      </w:pPr>
      <w:r>
        <w:rPr>
          <w:rFonts w:ascii="Arial" w:hAnsi="Arial"/>
          <w:sz w:val="22"/>
        </w:rPr>
        <w:t xml:space="preserve">•  </w:t>
      </w:r>
      <w:r>
        <w:rPr>
          <w:rFonts w:ascii="Arial" w:hAnsi="Arial"/>
          <w:b/>
          <w:sz w:val="22"/>
        </w:rPr>
        <w:t>Retention:</w:t>
      </w:r>
      <w:r>
        <w:rPr>
          <w:rFonts w:ascii="Arial" w:hAnsi="Arial"/>
          <w:sz w:val="22"/>
        </w:rPr>
        <w:t xml:space="preserve"> students 3 years after leaving; DBS records and the access log 6 years; hard delete (</w:t>
      </w:r>
      <w:r>
        <w:rPr>
          <w:rFonts w:ascii="Consolas" w:hAnsi="Consolas"/>
          <w:rFonts w:ascii="Consolas" w:hAnsi="Consolas"/>
          <w:sz w:val="20"/>
        </w:rPr>
        <w:t>governance/security-compliance.md</w:t>
      </w:r>
      <w:r>
        <w:rPr>
          <w:rFonts w:ascii="Arial" w:hAnsi="Arial"/>
          <w:sz w:val="22"/>
        </w:rPr>
        <w:t xml:space="preserve">). A "records due for deletion" report exists; </w:t>
      </w:r>
      <w:r>
        <w:rPr>
          <w:rFonts w:ascii="Arial" w:hAnsi="Arial"/>
          <w:b/>
          <w:sz w:val="22"/>
        </w:rPr>
        <w:t>the purge itself is not built yet</w:t>
      </w:r>
      <w:r>
        <w:rPr>
          <w:rFonts w:ascii="Arial" w:hAnsi="Arial"/>
          <w:sz w:val="22"/>
        </w:rPr>
        <w:t xml:space="preserve"> (</w:t>
      </w:r>
      <w:r>
        <w:rPr>
          <w:rFonts w:ascii="Consolas" w:hAnsi="Consolas"/>
          <w:rFonts w:ascii="Consolas" w:hAnsi="Consolas"/>
          <w:sz w:val="20"/>
        </w:rPr>
        <w:t>STATE.md</w:t>
      </w:r>
      <w:r>
        <w:rPr>
          <w:rFonts w:ascii="Arial" w:hAnsi="Arial"/>
          <w:sz w:val="22"/>
        </w:rPr>
        <w:t xml:space="preserve"> Blocked). Backups hold deleted data until they expire (</w:t>
      </w:r>
      <w:r>
        <w:rPr>
          <w:rFonts w:ascii="Consolas" w:hAnsi="Consolas"/>
          <w:rFonts w:ascii="Consolas" w:hAnsi="Consolas"/>
          <w:sz w:val="20"/>
        </w:rPr>
        <w:t>operations/dr-bcp.md</w:t>
      </w:r>
      <w:r>
        <w:rPr>
          <w:rFonts w:ascii="Arial" w:hAnsi="Arial"/>
          <w:sz w:val="22"/>
        </w:rPr>
        <w:t xml:space="preserve"> §2, R2 retention </w:t>
      </w:r>
      <w:r>
        <w:rPr>
          <w:rFonts w:ascii="Consolas" w:hAnsi="Consolas"/>
          <w:rFonts w:ascii="Consolas" w:hAnsi="Consolas"/>
          <w:sz w:val="20"/>
        </w:rPr>
        <w:t>[TBC – Philip]</w:t>
      </w:r>
      <w:r>
        <w:rPr>
          <w:rFonts w:ascii="Arial" w:hAnsi="Arial"/>
          <w:sz w:val="22"/>
        </w:rPr>
        <w:t>).</w:t>
      </w:r>
    </w:p>
    <w:p>
      <w:pPr>
        <w:spacing w:after="40"/>
        <w:ind w:left="620" w:hanging="260"/>
      </w:pPr>
      <w:r>
        <w:rPr>
          <w:rFonts w:ascii="Arial" w:hAnsi="Arial"/>
          <w:sz w:val="22"/>
        </w:rPr>
        <w:t xml:space="preserve">•  </w:t>
      </w:r>
      <w:r>
        <w:rPr>
          <w:rFonts w:ascii="Arial" w:hAnsi="Arial"/>
          <w:b/>
          <w:sz w:val="22"/>
        </w:rPr>
        <w:t>Transparency:</w:t>
      </w:r>
      <w:r>
        <w:rPr>
          <w:rFonts w:ascii="Arial" w:hAnsi="Arial"/>
          <w:sz w:val="22"/>
        </w:rPr>
        <w:t xml:space="preserve"> privacy notice (</w:t>
      </w:r>
      <w:r>
        <w:rPr>
          <w:rFonts w:ascii="Consolas" w:hAnsi="Consolas"/>
          <w:rFonts w:ascii="Consolas" w:hAnsi="Consolas"/>
          <w:sz w:val="20"/>
        </w:rPr>
        <w:t>governance/privacy-notice.md</w:t>
      </w:r>
      <w:r>
        <w:rPr>
          <w:rFonts w:ascii="Arial" w:hAnsi="Arial"/>
          <w:sz w:val="22"/>
        </w:rPr>
        <w:t>, draft) given to parents at enrolment and linked from the app.</w:t>
      </w:r>
    </w:p>
    <w:p>
      <w:pPr>
        <w:spacing w:after="40"/>
        <w:ind w:left="620" w:hanging="260"/>
      </w:pPr>
      <w:r>
        <w:rPr>
          <w:rFonts w:ascii="Arial" w:hAnsi="Arial"/>
          <w:sz w:val="22"/>
        </w:rPr>
        <w:t xml:space="preserve">•  </w:t>
      </w:r>
      <w:r>
        <w:rPr>
          <w:rFonts w:ascii="Arial" w:hAnsi="Arial"/>
          <w:b/>
          <w:sz w:val="22"/>
        </w:rPr>
        <w:t>Rights:</w:t>
      </w:r>
      <w:r>
        <w:rPr>
          <w:rFonts w:ascii="Arial" w:hAnsi="Arial"/>
          <w:sz w:val="22"/>
        </w:rPr>
        <w:t xml:space="preserve"> access, rectification and erasure requests handled by Philip </w:t>
      </w:r>
      <w:r>
        <w:rPr>
          <w:rFonts w:ascii="Consolas" w:hAnsi="Consolas"/>
          <w:rFonts w:ascii="Consolas" w:hAnsi="Consolas"/>
          <w:sz w:val="20"/>
        </w:rPr>
        <w:t>[TBC – Philip: process and contact]</w:t>
      </w:r>
      <w:r>
        <w:rPr>
          <w:rFonts w:ascii="Arial" w:hAnsi="Arial"/>
          <w:sz w:val="22"/>
        </w:rPr>
        <w:t>. Not automated decision-making with legal or similarly significant effect: promotion and consent blocking apply fixed club rules to records.</w:t>
      </w:r>
    </w:p>
    <w:p>
      <w:pPr>
        <w:keepNext/>
        <w:spacing w:before="200" w:after="80"/>
        <w:outlineLvl w:val="1"/>
      </w:pPr>
      <w:r>
        <w:rPr>
          <w:rFonts w:ascii="Arial" w:hAnsi="Arial"/>
          <w:b/>
          <w:color w:val="1F2937"/>
          <w:sz w:val="26"/>
        </w:rPr>
        <w:t>5. Risks and measures</w:t>
      </w:r>
    </w:p>
    <w:p>
      <w:pPr>
        <w:spacing w:after="80"/>
      </w:pPr>
      <w:r>
        <w:rPr>
          <w:rFonts w:ascii="Arial" w:hAnsi="Arial"/>
          <w:sz w:val="22"/>
        </w:rPr>
        <w:t>Likelihood and severity: Remote / Possible / Probable; Minimal / Significant / Severe.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1504"/>
        <w:gridCol w:w="1504"/>
        <w:gridCol w:w="1504"/>
        <w:gridCol w:w="1504"/>
        <w:gridCol w:w="1504"/>
        <w:gridCol w:w="1504"/>
      </w:tblGrid>
      <w:tr>
        <w:tc>
          <w:tcPr>
            <w:tcW w:type="dxa" w:w="363"/>
            <w:shd w:val="clear" w:color="auto" w:fill="374151"/>
          </w:tcPr>
          <w:p>
            <w:pPr>
              <w:spacing w:after="40" w:before="40"/>
            </w:pPr>
            <w:r>
              <w:rPr>
                <w:rFonts w:ascii="Arial" w:hAnsi="Arial"/>
                <w:b/>
                <w:color w:val="FFFFFF"/>
                <w:sz w:val="20"/>
              </w:rPr>
              <w:t>#</w:t>
            </w:r>
          </w:p>
        </w:tc>
        <w:tc>
          <w:tcPr>
            <w:tcW w:type="dxa" w:w="2296"/>
            <w:shd w:val="clear" w:color="auto" w:fill="374151"/>
          </w:tcPr>
          <w:p>
            <w:pPr>
              <w:spacing w:after="40" w:before="40"/>
            </w:pPr>
            <w:r>
              <w:rPr>
                <w:rFonts w:ascii="Arial" w:hAnsi="Arial"/>
                <w:b/>
                <w:color w:val="FFFFFF"/>
                <w:sz w:val="20"/>
              </w:rPr>
              <w:t>Risk</w:t>
            </w:r>
          </w:p>
        </w:tc>
        <w:tc>
          <w:tcPr>
            <w:tcW w:type="dxa" w:w="1212"/>
            <w:shd w:val="clear" w:color="auto" w:fill="374151"/>
          </w:tcPr>
          <w:p>
            <w:pPr>
              <w:spacing w:after="40" w:before="40"/>
            </w:pPr>
            <w:r>
              <w:rPr>
                <w:rFonts w:ascii="Arial" w:hAnsi="Arial"/>
                <w:b/>
                <w:color w:val="FFFFFF"/>
                <w:sz w:val="20"/>
              </w:rPr>
              <w:t>L</w:t>
            </w:r>
          </w:p>
        </w:tc>
        <w:tc>
          <w:tcPr>
            <w:tcW w:type="dxa" w:w="590"/>
            <w:shd w:val="clear" w:color="auto" w:fill="374151"/>
          </w:tcPr>
          <w:p>
            <w:pPr>
              <w:spacing w:after="40" w:before="40"/>
            </w:pPr>
            <w:r>
              <w:rPr>
                <w:rFonts w:ascii="Arial" w:hAnsi="Arial"/>
                <w:b/>
                <w:color w:val="FFFFFF"/>
                <w:sz w:val="20"/>
              </w:rPr>
              <w:t>S</w:t>
            </w:r>
          </w:p>
        </w:tc>
        <w:tc>
          <w:tcPr>
            <w:tcW w:type="dxa" w:w="2296"/>
            <w:shd w:val="clear" w:color="auto" w:fill="374151"/>
          </w:tcPr>
          <w:p>
            <w:pPr>
              <w:spacing w:after="40" w:before="40"/>
            </w:pPr>
            <w:r>
              <w:rPr>
                <w:rFonts w:ascii="Arial" w:hAnsi="Arial"/>
                <w:b/>
                <w:color w:val="FFFFFF"/>
                <w:sz w:val="20"/>
              </w:rPr>
              <w:t>Measures in place</w:t>
            </w:r>
          </w:p>
        </w:tc>
        <w:tc>
          <w:tcPr>
            <w:tcW w:type="dxa" w:w="2269"/>
            <w:shd w:val="clear" w:color="auto" w:fill="374151"/>
          </w:tcPr>
          <w:p>
            <w:pPr>
              <w:spacing w:after="40" w:before="40"/>
            </w:pPr>
            <w:r>
              <w:rPr>
                <w:rFonts w:ascii="Arial" w:hAnsi="Arial"/>
                <w:b/>
                <w:color w:val="FFFFFF"/>
                <w:sz w:val="20"/>
              </w:rPr>
              <w:t>Residual</w:t>
            </w:r>
          </w:p>
        </w:tc>
      </w:tr>
      <w:tr>
        <w:tc>
          <w:tcPr>
            <w:tcW w:type="dxa" w:w="363"/>
            <w:shd w:val="clear" w:color="auto" w:fill="F3F4F6"/>
          </w:tcPr>
          <w:p>
            <w:pPr>
              <w:spacing w:after="40" w:before="40"/>
            </w:pPr>
            <w:r>
              <w:rPr>
                <w:rFonts w:ascii="Arial" w:hAnsi="Arial"/>
                <w:sz w:val="20"/>
              </w:rPr>
              <w:t>1</w:t>
            </w:r>
          </w:p>
        </w:tc>
        <w:tc>
          <w:tcPr>
            <w:tcW w:type="dxa" w:w="2296"/>
            <w:shd w:val="clear" w:color="auto" w:fill="F3F4F6"/>
          </w:tcPr>
          <w:p>
            <w:pPr>
              <w:spacing w:after="40" w:before="40"/>
            </w:pPr>
            <w:r>
              <w:rPr>
                <w:rFonts w:ascii="Arial" w:hAnsi="Arial"/>
                <w:sz w:val="20"/>
              </w:rPr>
              <w:t>A volunteer without the role sees a child's medical data or a DBS record</w:t>
            </w:r>
          </w:p>
        </w:tc>
        <w:tc>
          <w:tcPr>
            <w:tcW w:type="dxa" w:w="1212"/>
            <w:shd w:val="clear" w:color="auto" w:fill="F3F4F6"/>
          </w:tcPr>
          <w:p>
            <w:pPr>
              <w:spacing w:after="40" w:before="40"/>
            </w:pPr>
            <w:r>
              <w:rPr>
                <w:rFonts w:ascii="Arial" w:hAnsi="Arial"/>
                <w:sz w:val="20"/>
              </w:rPr>
              <w:t>Possible</w:t>
            </w:r>
          </w:p>
        </w:tc>
        <w:tc>
          <w:tcPr>
            <w:tcW w:type="dxa" w:w="590"/>
            <w:shd w:val="clear" w:color="auto" w:fill="F3F4F6"/>
          </w:tcPr>
          <w:p>
            <w:pPr>
              <w:spacing w:after="40" w:before="40"/>
            </w:pPr>
            <w:r>
              <w:rPr>
                <w:rFonts w:ascii="Arial" w:hAnsi="Arial"/>
                <w:sz w:val="20"/>
              </w:rPr>
              <w:t>Severe</w:t>
            </w:r>
          </w:p>
        </w:tc>
        <w:tc>
          <w:tcPr>
            <w:tcW w:type="dxa" w:w="2296"/>
            <w:shd w:val="clear" w:color="auto" w:fill="F3F4F6"/>
          </w:tcPr>
          <w:p>
            <w:pPr>
              <w:spacing w:after="40" w:before="40"/>
            </w:pPr>
            <w:r>
              <w:rPr>
                <w:rFonts w:ascii="Arial" w:hAnsi="Arial"/>
                <w:sz w:val="20"/>
              </w:rPr>
              <w:t>Whole-entity query filters (Admin/SO only, MFA required); Approver curriculum-only; tested (TC-007, TC-008); ASVS V8 gate stage</w:t>
            </w:r>
          </w:p>
        </w:tc>
        <w:tc>
          <w:tcPr>
            <w:tcW w:type="dxa" w:w="2269"/>
            <w:shd w:val="clear" w:color="auto" w:fill="F3F4F6"/>
          </w:tcPr>
          <w:p>
            <w:pPr>
              <w:spacing w:after="40" w:before="40"/>
            </w:pPr>
            <w:r>
              <w:rPr>
                <w:rFonts w:ascii="Arial" w:hAnsi="Arial"/>
                <w:sz w:val="20"/>
              </w:rPr>
              <w:t>Low</w:t>
            </w:r>
          </w:p>
        </w:tc>
      </w:tr>
      <w:tr>
        <w:tc>
          <w:tcPr>
            <w:tcW w:type="dxa" w:w="363"/>
            <w:shd w:val="clear" w:color="auto" w:fill="FFFFFF"/>
          </w:tcPr>
          <w:p>
            <w:pPr>
              <w:spacing w:after="40" w:before="40"/>
            </w:pPr>
            <w:r>
              <w:rPr>
                <w:rFonts w:ascii="Arial" w:hAnsi="Arial"/>
                <w:sz w:val="20"/>
              </w:rPr>
              <w:t>2</w:t>
            </w:r>
          </w:p>
        </w:tc>
        <w:tc>
          <w:tcPr>
            <w:tcW w:type="dxa" w:w="2296"/>
            <w:shd w:val="clear" w:color="auto" w:fill="FFFFFF"/>
          </w:tcPr>
          <w:p>
            <w:pPr>
              <w:spacing w:after="40" w:before="40"/>
            </w:pPr>
            <w:r>
              <w:rPr>
                <w:rFonts w:ascii="Arial" w:hAnsi="Arial"/>
                <w:sz w:val="20"/>
              </w:rPr>
              <w:t>Authorised access is misused without trace</w:t>
            </w:r>
          </w:p>
        </w:tc>
        <w:tc>
          <w:tcPr>
            <w:tcW w:type="dxa" w:w="1212"/>
            <w:shd w:val="clear" w:color="auto" w:fill="FFFFFF"/>
          </w:tcPr>
          <w:p>
            <w:pPr>
              <w:spacing w:after="40" w:before="40"/>
            </w:pPr>
            <w:r>
              <w:rPr>
                <w:rFonts w:ascii="Arial" w:hAnsi="Arial"/>
                <w:sz w:val="20"/>
              </w:rPr>
              <w:t>Possible</w:t>
            </w:r>
          </w:p>
        </w:tc>
        <w:tc>
          <w:tcPr>
            <w:tcW w:type="dxa" w:w="590"/>
            <w:shd w:val="clear" w:color="auto" w:fill="FFFFFF"/>
          </w:tcPr>
          <w:p>
            <w:pPr>
              <w:spacing w:after="40" w:before="40"/>
            </w:pPr>
            <w:r>
              <w:rPr>
                <w:rFonts w:ascii="Arial" w:hAnsi="Arial"/>
                <w:sz w:val="20"/>
              </w:rPr>
              <w:t>Significant</w:t>
            </w:r>
          </w:p>
        </w:tc>
        <w:tc>
          <w:tcPr>
            <w:tcW w:type="dxa" w:w="2296"/>
            <w:shd w:val="clear" w:color="auto" w:fill="FFFFFF"/>
          </w:tcPr>
          <w:p>
            <w:pPr>
              <w:spacing w:after="40" w:before="40"/>
            </w:pPr>
            <w:r>
              <w:rPr>
                <w:rFonts w:ascii="Arial" w:hAnsi="Arial"/>
                <w:sz w:val="20"/>
              </w:rPr>
              <w:t>Every read of DbsCheck/ConsentSensitiveDetails logged (TC-011); log protected by PostgreSQL RLS (TC-014)</w:t>
            </w:r>
          </w:p>
        </w:tc>
        <w:tc>
          <w:tcPr>
            <w:tcW w:type="dxa" w:w="2269"/>
            <w:shd w:val="clear" w:color="auto" w:fill="FFFFFF"/>
          </w:tcPr>
          <w:p>
            <w:pPr>
              <w:spacing w:after="40" w:before="40"/>
            </w:pPr>
            <w:r>
              <w:rPr>
                <w:rFonts w:ascii="Arial" w:hAnsi="Arial"/>
                <w:sz w:val="20"/>
              </w:rPr>
              <w:t>Low</w:t>
            </w:r>
          </w:p>
        </w:tc>
      </w:tr>
      <w:tr>
        <w:tc>
          <w:tcPr>
            <w:tcW w:type="dxa" w:w="363"/>
            <w:shd w:val="clear" w:color="auto" w:fill="F3F4F6"/>
          </w:tcPr>
          <w:p>
            <w:pPr>
              <w:spacing w:after="40" w:before="40"/>
            </w:pPr>
            <w:r>
              <w:rPr>
                <w:rFonts w:ascii="Arial" w:hAnsi="Arial"/>
                <w:sz w:val="20"/>
              </w:rPr>
              <w:t>3</w:t>
            </w:r>
          </w:p>
        </w:tc>
        <w:tc>
          <w:tcPr>
            <w:tcW w:type="dxa" w:w="2296"/>
            <w:shd w:val="clear" w:color="auto" w:fill="F3F4F6"/>
          </w:tcPr>
          <w:p>
            <w:pPr>
              <w:spacing w:after="40" w:before="40"/>
            </w:pPr>
            <w:r>
              <w:rPr>
                <w:rFonts w:ascii="Arial" w:hAnsi="Arial"/>
                <w:sz w:val="20"/>
              </w:rPr>
              <w:t>A stranger claims to be a parent and sees a child's data</w:t>
            </w:r>
          </w:p>
        </w:tc>
        <w:tc>
          <w:tcPr>
            <w:tcW w:type="dxa" w:w="1212"/>
            <w:shd w:val="clear" w:color="auto" w:fill="F3F4F6"/>
          </w:tcPr>
          <w:p>
            <w:pPr>
              <w:spacing w:after="40" w:before="40"/>
            </w:pPr>
            <w:r>
              <w:rPr>
                <w:rFonts w:ascii="Arial" w:hAnsi="Arial"/>
                <w:sz w:val="20"/>
              </w:rPr>
              <w:t>Possible</w:t>
            </w:r>
          </w:p>
        </w:tc>
        <w:tc>
          <w:tcPr>
            <w:tcW w:type="dxa" w:w="590"/>
            <w:shd w:val="clear" w:color="auto" w:fill="F3F4F6"/>
          </w:tcPr>
          <w:p>
            <w:pPr>
              <w:spacing w:after="40" w:before="40"/>
            </w:pPr>
            <w:r>
              <w:rPr>
                <w:rFonts w:ascii="Arial" w:hAnsi="Arial"/>
                <w:sz w:val="20"/>
              </w:rPr>
              <w:t>Severe</w:t>
            </w:r>
          </w:p>
        </w:tc>
        <w:tc>
          <w:tcPr>
            <w:tcW w:type="dxa" w:w="2296"/>
            <w:shd w:val="clear" w:color="auto" w:fill="F3F4F6"/>
          </w:tcPr>
          <w:p>
            <w:pPr>
              <w:spacing w:after="40" w:before="40"/>
            </w:pPr>
            <w:r>
              <w:rPr>
                <w:rFonts w:ascii="Arial" w:hAnsi="Arial"/>
                <w:sz w:val="20"/>
              </w:rPr>
              <w:t>Guardian links only by Admin/Teacher; invite acceptance grants no role until Admin approves (FR-004, TC-012)</w:t>
            </w:r>
          </w:p>
        </w:tc>
        <w:tc>
          <w:tcPr>
            <w:tcW w:type="dxa" w:w="2269"/>
            <w:shd w:val="clear" w:color="auto" w:fill="F3F4F6"/>
          </w:tcPr>
          <w:p>
            <w:pPr>
              <w:spacing w:after="40" w:before="40"/>
            </w:pPr>
            <w:r>
              <w:rPr>
                <w:rFonts w:ascii="Arial" w:hAnsi="Arial"/>
                <w:sz w:val="20"/>
              </w:rPr>
              <w:t>Low</w:t>
            </w:r>
          </w:p>
        </w:tc>
      </w:tr>
      <w:tr>
        <w:tc>
          <w:tcPr>
            <w:tcW w:type="dxa" w:w="363"/>
            <w:shd w:val="clear" w:color="auto" w:fill="FFFFFF"/>
          </w:tcPr>
          <w:p>
            <w:pPr>
              <w:spacing w:after="40" w:before="40"/>
            </w:pPr>
            <w:r>
              <w:rPr>
                <w:rFonts w:ascii="Arial" w:hAnsi="Arial"/>
                <w:sz w:val="20"/>
              </w:rPr>
              <w:t>4</w:t>
            </w:r>
          </w:p>
        </w:tc>
        <w:tc>
          <w:tcPr>
            <w:tcW w:type="dxa" w:w="2296"/>
            <w:shd w:val="clear" w:color="auto" w:fill="FFFFFF"/>
          </w:tcPr>
          <w:p>
            <w:pPr>
              <w:spacing w:after="40" w:before="40"/>
            </w:pPr>
            <w:r>
              <w:rPr>
                <w:rFonts w:ascii="Arial" w:hAnsi="Arial"/>
                <w:sz w:val="20"/>
              </w:rPr>
              <w:t>Account takeover</w:t>
            </w:r>
          </w:p>
        </w:tc>
        <w:tc>
          <w:tcPr>
            <w:tcW w:type="dxa" w:w="1212"/>
            <w:shd w:val="clear" w:color="auto" w:fill="FFFFFF"/>
          </w:tcPr>
          <w:p>
            <w:pPr>
              <w:spacing w:after="40" w:before="40"/>
            </w:pPr>
            <w:r>
              <w:rPr>
                <w:rFonts w:ascii="Arial" w:hAnsi="Arial"/>
                <w:sz w:val="20"/>
              </w:rPr>
              <w:t>Possible</w:t>
            </w:r>
          </w:p>
        </w:tc>
        <w:tc>
          <w:tcPr>
            <w:tcW w:type="dxa" w:w="590"/>
            <w:shd w:val="clear" w:color="auto" w:fill="FFFFFF"/>
          </w:tcPr>
          <w:p>
            <w:pPr>
              <w:spacing w:after="40" w:before="40"/>
            </w:pPr>
            <w:r>
              <w:rPr>
                <w:rFonts w:ascii="Arial" w:hAnsi="Arial"/>
                <w:sz w:val="20"/>
              </w:rPr>
              <w:t>Severe</w:t>
            </w:r>
          </w:p>
        </w:tc>
        <w:tc>
          <w:tcPr>
            <w:tcW w:type="dxa" w:w="2296"/>
            <w:shd w:val="clear" w:color="auto" w:fill="FFFFFF"/>
          </w:tcPr>
          <w:p>
            <w:pPr>
              <w:spacing w:after="40" w:before="40"/>
            </w:pPr>
            <w:r>
              <w:rPr>
                <w:rFonts w:ascii="Arial" w:hAnsi="Arial"/>
                <w:sz w:val="20"/>
              </w:rPr>
              <w:t>ASP.NET Core Identity; MFA mandatory for Admin/SO; lockout after 5 attempts; rate limiting; confirmed email; HSTS</w:t>
            </w:r>
          </w:p>
        </w:tc>
        <w:tc>
          <w:tcPr>
            <w:tcW w:type="dxa" w:w="2269"/>
            <w:shd w:val="clear" w:color="auto" w:fill="FFFFFF"/>
          </w:tcPr>
          <w:p>
            <w:pPr>
              <w:spacing w:after="40" w:before="40"/>
            </w:pPr>
            <w:r>
              <w:rPr>
                <w:rFonts w:ascii="Arial" w:hAnsi="Arial"/>
                <w:sz w:val="20"/>
              </w:rPr>
              <w:t>Low–medium (MFA optional for other roles)</w:t>
            </w:r>
          </w:p>
        </w:tc>
      </w:tr>
      <w:tr>
        <w:tc>
          <w:tcPr>
            <w:tcW w:type="dxa" w:w="363"/>
            <w:shd w:val="clear" w:color="auto" w:fill="F3F4F6"/>
          </w:tcPr>
          <w:p>
            <w:pPr>
              <w:spacing w:after="40" w:before="40"/>
            </w:pPr>
            <w:r>
              <w:rPr>
                <w:rFonts w:ascii="Arial" w:hAnsi="Arial"/>
                <w:sz w:val="20"/>
              </w:rPr>
              <w:t>5</w:t>
            </w:r>
          </w:p>
        </w:tc>
        <w:tc>
          <w:tcPr>
            <w:tcW w:type="dxa" w:w="2296"/>
            <w:shd w:val="clear" w:color="auto" w:fill="F3F4F6"/>
          </w:tcPr>
          <w:p>
            <w:pPr>
              <w:spacing w:after="40" w:before="40"/>
            </w:pPr>
            <w:r>
              <w:rPr>
                <w:rFonts w:ascii="Arial" w:hAnsi="Arial"/>
                <w:sz w:val="20"/>
              </w:rPr>
              <w:t>Server compromise or data breach</w:t>
            </w:r>
          </w:p>
        </w:tc>
        <w:tc>
          <w:tcPr>
            <w:tcW w:type="dxa" w:w="1212"/>
            <w:shd w:val="clear" w:color="auto" w:fill="F3F4F6"/>
          </w:tcPr>
          <w:p>
            <w:pPr>
              <w:spacing w:after="40" w:before="40"/>
            </w:pPr>
            <w:r>
              <w:rPr>
                <w:rFonts w:ascii="Arial" w:hAnsi="Arial"/>
                <w:sz w:val="20"/>
              </w:rPr>
              <w:t>Remote</w:t>
            </w:r>
          </w:p>
        </w:tc>
        <w:tc>
          <w:tcPr>
            <w:tcW w:type="dxa" w:w="590"/>
            <w:shd w:val="clear" w:color="auto" w:fill="F3F4F6"/>
          </w:tcPr>
          <w:p>
            <w:pPr>
              <w:spacing w:after="40" w:before="40"/>
            </w:pPr>
            <w:r>
              <w:rPr>
                <w:rFonts w:ascii="Arial" w:hAnsi="Arial"/>
                <w:sz w:val="20"/>
              </w:rPr>
              <w:t>Severe</w:t>
            </w:r>
          </w:p>
        </w:tc>
        <w:tc>
          <w:tcPr>
            <w:tcW w:type="dxa" w:w="2296"/>
            <w:shd w:val="clear" w:color="auto" w:fill="F3F4F6"/>
          </w:tcPr>
          <w:p>
            <w:pPr>
              <w:spacing w:after="40" w:before="40"/>
            </w:pPr>
            <w:r>
              <w:rPr>
                <w:rFonts w:ascii="Arial" w:hAnsi="Arial"/>
                <w:sz w:val="20"/>
              </w:rPr>
              <w:t>Hardened host (operations/host-hardening.md), least-privilege DB roles, secrets outside the repo, secret scanning, security updates</w:t>
            </w:r>
          </w:p>
        </w:tc>
        <w:tc>
          <w:tcPr>
            <w:tcW w:type="dxa" w:w="2269"/>
            <w:shd w:val="clear" w:color="auto" w:fill="F3F4F6"/>
          </w:tcPr>
          <w:p>
            <w:pPr>
              <w:spacing w:after="40" w:before="40"/>
            </w:pPr>
            <w:r>
              <w:rPr>
                <w:rFonts w:ascii="Arial" w:hAnsi="Arial"/>
                <w:sz w:val="20"/>
              </w:rPr>
              <w:t>Medium (single operator)</w:t>
            </w:r>
          </w:p>
        </w:tc>
      </w:tr>
      <w:tr>
        <w:tc>
          <w:tcPr>
            <w:tcW w:type="dxa" w:w="363"/>
            <w:shd w:val="clear" w:color="auto" w:fill="FFFFFF"/>
          </w:tcPr>
          <w:p>
            <w:pPr>
              <w:spacing w:after="40" w:before="40"/>
            </w:pPr>
            <w:r>
              <w:rPr>
                <w:rFonts w:ascii="Arial" w:hAnsi="Arial"/>
                <w:sz w:val="20"/>
              </w:rPr>
              <w:t>6</w:t>
            </w:r>
          </w:p>
        </w:tc>
        <w:tc>
          <w:tcPr>
            <w:tcW w:type="dxa" w:w="2296"/>
            <w:shd w:val="clear" w:color="auto" w:fill="FFFFFF"/>
          </w:tcPr>
          <w:p>
            <w:pPr>
              <w:spacing w:after="40" w:before="40"/>
            </w:pPr>
            <w:r>
              <w:rPr>
                <w:rFonts w:ascii="Arial" w:hAnsi="Arial"/>
                <w:sz w:val="20"/>
              </w:rPr>
              <w:t>Data loss</w:t>
            </w:r>
          </w:p>
        </w:tc>
        <w:tc>
          <w:tcPr>
            <w:tcW w:type="dxa" w:w="1212"/>
            <w:shd w:val="clear" w:color="auto" w:fill="FFFFFF"/>
          </w:tcPr>
          <w:p>
            <w:pPr>
              <w:spacing w:after="40" w:before="40"/>
            </w:pPr>
            <w:r>
              <w:rPr>
                <w:rFonts w:ascii="Arial" w:hAnsi="Arial"/>
                <w:sz w:val="20"/>
              </w:rPr>
              <w:t>Possible</w:t>
            </w:r>
          </w:p>
        </w:tc>
        <w:tc>
          <w:tcPr>
            <w:tcW w:type="dxa" w:w="590"/>
            <w:shd w:val="clear" w:color="auto" w:fill="FFFFFF"/>
          </w:tcPr>
          <w:p>
            <w:pPr>
              <w:spacing w:after="40" w:before="40"/>
            </w:pPr>
            <w:r>
              <w:rPr>
                <w:rFonts w:ascii="Arial" w:hAnsi="Arial"/>
                <w:sz w:val="20"/>
              </w:rPr>
              <w:t>Significant</w:t>
            </w:r>
          </w:p>
        </w:tc>
        <w:tc>
          <w:tcPr>
            <w:tcW w:type="dxa" w:w="2296"/>
            <w:shd w:val="clear" w:color="auto" w:fill="FFFFFF"/>
          </w:tcPr>
          <w:p>
            <w:pPr>
              <w:spacing w:after="40" w:before="40"/>
            </w:pPr>
            <w:r>
              <w:rPr>
                <w:rFonts w:ascii="Arial" w:hAnsi="Arial"/>
                <w:sz w:val="20"/>
              </w:rPr>
              <w:t>Nightly off-box backups, restore testing (operations/dr-bcp.md)</w:t>
            </w:r>
          </w:p>
        </w:tc>
        <w:tc>
          <w:tcPr>
            <w:tcW w:type="dxa" w:w="2269"/>
            <w:shd w:val="clear" w:color="auto" w:fill="FFFFFF"/>
          </w:tcPr>
          <w:p>
            <w:pPr>
              <w:spacing w:after="40" w:before="40"/>
            </w:pPr>
            <w:r>
              <w:rPr>
                <w:rFonts w:ascii="Arial" w:hAnsi="Arial"/>
                <w:sz w:val="20"/>
              </w:rPr>
              <w:t>Low once the restore test is done</w:t>
            </w:r>
          </w:p>
        </w:tc>
      </w:tr>
      <w:tr>
        <w:tc>
          <w:tcPr>
            <w:tcW w:type="dxa" w:w="363"/>
            <w:shd w:val="clear" w:color="auto" w:fill="F3F4F6"/>
          </w:tcPr>
          <w:p>
            <w:pPr>
              <w:spacing w:after="40" w:before="40"/>
            </w:pPr>
            <w:r>
              <w:rPr>
                <w:rFonts w:ascii="Arial" w:hAnsi="Arial"/>
                <w:sz w:val="20"/>
              </w:rPr>
              <w:t>7</w:t>
            </w:r>
          </w:p>
        </w:tc>
        <w:tc>
          <w:tcPr>
            <w:tcW w:type="dxa" w:w="2296"/>
            <w:shd w:val="clear" w:color="auto" w:fill="F3F4F6"/>
          </w:tcPr>
          <w:p>
            <w:pPr>
              <w:spacing w:after="40" w:before="40"/>
            </w:pPr>
            <w:r>
              <w:rPr>
                <w:rFonts w:ascii="Arial" w:hAnsi="Arial"/>
                <w:sz w:val="20"/>
              </w:rPr>
              <w:t>Data kept longer than the retention period</w:t>
            </w:r>
          </w:p>
        </w:tc>
        <w:tc>
          <w:tcPr>
            <w:tcW w:type="dxa" w:w="1212"/>
            <w:shd w:val="clear" w:color="auto" w:fill="F3F4F6"/>
          </w:tcPr>
          <w:p>
            <w:pPr>
              <w:spacing w:after="40" w:before="40"/>
            </w:pPr>
            <w:r>
              <w:rPr>
                <w:rFonts w:ascii="Arial" w:hAnsi="Arial"/>
                <w:sz w:val="20"/>
              </w:rPr>
              <w:t>Probable until purge exists</w:t>
            </w:r>
          </w:p>
        </w:tc>
        <w:tc>
          <w:tcPr>
            <w:tcW w:type="dxa" w:w="590"/>
            <w:shd w:val="clear" w:color="auto" w:fill="F3F4F6"/>
          </w:tcPr>
          <w:p>
            <w:pPr>
              <w:spacing w:after="40" w:before="40"/>
            </w:pPr>
            <w:r>
              <w:rPr>
                <w:rFonts w:ascii="Arial" w:hAnsi="Arial"/>
                <w:sz w:val="20"/>
              </w:rPr>
              <w:t>Significant</w:t>
            </w:r>
          </w:p>
        </w:tc>
        <w:tc>
          <w:tcPr>
            <w:tcW w:type="dxa" w:w="2296"/>
            <w:shd w:val="clear" w:color="auto" w:fill="F3F4F6"/>
          </w:tcPr>
          <w:p>
            <w:pPr>
              <w:spacing w:after="40" w:before="40"/>
            </w:pPr>
            <w:r>
              <w:rPr>
                <w:rFonts w:ascii="Arial" w:hAnsi="Arial"/>
                <w:sz w:val="20"/>
              </w:rPr>
              <w:t>Due-for-deletion report; manual deletion</w:t>
            </w:r>
          </w:p>
        </w:tc>
        <w:tc>
          <w:tcPr>
            <w:tcW w:type="dxa" w:w="2269"/>
            <w:shd w:val="clear" w:color="auto" w:fill="F3F4F6"/>
          </w:tcPr>
          <w:p>
            <w:pPr>
              <w:spacing w:after="40" w:before="40"/>
            </w:pPr>
            <w:r>
              <w:rPr>
                <w:rFonts w:ascii="Arial" w:hAnsi="Arial"/>
                <w:sz w:val="20"/>
              </w:rPr>
              <w:t>Medium: purge not built</w:t>
            </w:r>
          </w:p>
        </w:tc>
      </w:tr>
      <w:tr>
        <w:tc>
          <w:tcPr>
            <w:tcW w:type="dxa" w:w="363"/>
            <w:shd w:val="clear" w:color="auto" w:fill="FFFFFF"/>
          </w:tcPr>
          <w:p>
            <w:pPr>
              <w:spacing w:after="40" w:before="40"/>
            </w:pPr>
            <w:r>
              <w:rPr>
                <w:rFonts w:ascii="Arial" w:hAnsi="Arial"/>
                <w:sz w:val="20"/>
              </w:rPr>
              <w:t>8</w:t>
            </w:r>
          </w:p>
        </w:tc>
        <w:tc>
          <w:tcPr>
            <w:tcW w:type="dxa" w:w="2296"/>
            <w:shd w:val="clear" w:color="auto" w:fill="FFFFFF"/>
          </w:tcPr>
          <w:p>
            <w:pPr>
              <w:spacing w:after="40" w:before="40"/>
            </w:pPr>
            <w:r>
              <w:rPr>
                <w:rFonts w:ascii="Arial" w:hAnsi="Arial"/>
                <w:sz w:val="20"/>
              </w:rPr>
              <w:t>A safeguarding alert (expired consent/DBS) goes unnoticed</w:t>
            </w:r>
          </w:p>
        </w:tc>
        <w:tc>
          <w:tcPr>
            <w:tcW w:type="dxa" w:w="1212"/>
            <w:shd w:val="clear" w:color="auto" w:fill="FFFFFF"/>
          </w:tcPr>
          <w:p>
            <w:pPr>
              <w:spacing w:after="40" w:before="40"/>
            </w:pPr>
            <w:r>
              <w:rPr>
                <w:rFonts w:ascii="Arial" w:hAnsi="Arial"/>
                <w:sz w:val="20"/>
              </w:rPr>
              <w:t>Possible</w:t>
            </w:r>
          </w:p>
        </w:tc>
        <w:tc>
          <w:tcPr>
            <w:tcW w:type="dxa" w:w="590"/>
            <w:shd w:val="clear" w:color="auto" w:fill="FFFFFF"/>
          </w:tcPr>
          <w:p>
            <w:pPr>
              <w:spacing w:after="40" w:before="40"/>
            </w:pPr>
            <w:r>
              <w:rPr>
                <w:rFonts w:ascii="Arial" w:hAnsi="Arial"/>
                <w:sz w:val="20"/>
              </w:rPr>
              <w:t>Significant</w:t>
            </w:r>
          </w:p>
        </w:tc>
        <w:tc>
          <w:tcPr>
            <w:tcW w:type="dxa" w:w="2296"/>
            <w:shd w:val="clear" w:color="auto" w:fill="FFFFFF"/>
          </w:tcPr>
          <w:p>
            <w:pPr>
              <w:spacing w:after="40" w:before="40"/>
            </w:pPr>
            <w:r>
              <w:rPr>
                <w:rFonts w:ascii="Arial" w:hAnsi="Arial"/>
                <w:sz w:val="20"/>
              </w:rPr>
              <w:t>Retries; escalation logged; digest email to Admin/SO</w:t>
            </w:r>
          </w:p>
        </w:tc>
        <w:tc>
          <w:tcPr>
            <w:tcW w:type="dxa" w:w="2269"/>
            <w:shd w:val="clear" w:color="auto" w:fill="FFFFFF"/>
          </w:tcPr>
          <w:p>
            <w:pPr>
              <w:spacing w:after="40" w:before="40"/>
            </w:pPr>
            <w:r>
              <w:rPr>
                <w:rFonts w:ascii="Arial" w:hAnsi="Arial"/>
                <w:sz w:val="20"/>
              </w:rPr>
              <w:t>Medium: alert route undecided (operations/monitoring.md §3)</w:t>
            </w:r>
          </w:p>
        </w:tc>
      </w:tr>
      <w:tr>
        <w:tc>
          <w:tcPr>
            <w:tcW w:type="dxa" w:w="363"/>
            <w:shd w:val="clear" w:color="auto" w:fill="F3F4F6"/>
          </w:tcPr>
          <w:p>
            <w:pPr>
              <w:spacing w:after="40" w:before="40"/>
            </w:pPr>
            <w:r>
              <w:rPr>
                <w:rFonts w:ascii="Arial" w:hAnsi="Arial"/>
                <w:sz w:val="20"/>
              </w:rPr>
              <w:t>9</w:t>
            </w:r>
          </w:p>
        </w:tc>
        <w:tc>
          <w:tcPr>
            <w:tcW w:type="dxa" w:w="2296"/>
            <w:shd w:val="clear" w:color="auto" w:fill="F3F4F6"/>
          </w:tcPr>
          <w:p>
            <w:pPr>
              <w:spacing w:after="40" w:before="40"/>
            </w:pPr>
            <w:r>
              <w:rPr>
                <w:rFonts w:ascii="Arial" w:hAnsi="Arial"/>
                <w:sz w:val="20"/>
              </w:rPr>
              <w:t>Personal data in server logs</w:t>
            </w:r>
          </w:p>
        </w:tc>
        <w:tc>
          <w:tcPr>
            <w:tcW w:type="dxa" w:w="1212"/>
            <w:shd w:val="clear" w:color="auto" w:fill="F3F4F6"/>
          </w:tcPr>
          <w:p>
            <w:pPr>
              <w:spacing w:after="40" w:before="40"/>
            </w:pPr>
            <w:r>
              <w:rPr>
                <w:rFonts w:ascii="Arial" w:hAnsi="Arial"/>
                <w:sz w:val="20"/>
              </w:rPr>
              <w:t>Probable</w:t>
            </w:r>
          </w:p>
        </w:tc>
        <w:tc>
          <w:tcPr>
            <w:tcW w:type="dxa" w:w="590"/>
            <w:shd w:val="clear" w:color="auto" w:fill="F3F4F6"/>
          </w:tcPr>
          <w:p>
            <w:pPr>
              <w:spacing w:after="40" w:before="40"/>
            </w:pPr>
            <w:r>
              <w:rPr>
                <w:rFonts w:ascii="Arial" w:hAnsi="Arial"/>
                <w:sz w:val="20"/>
              </w:rPr>
              <w:t>Minimal</w:t>
            </w:r>
          </w:p>
        </w:tc>
        <w:tc>
          <w:tcPr>
            <w:tcW w:type="dxa" w:w="2296"/>
            <w:shd w:val="clear" w:color="auto" w:fill="F3F4F6"/>
          </w:tcPr>
          <w:p>
            <w:pPr>
              <w:spacing w:after="40" w:before="40"/>
            </w:pPr>
            <w:r>
              <w:rPr>
                <w:rFonts w:ascii="Arial" w:hAnsi="Arial"/>
                <w:sz w:val="20"/>
              </w:rPr>
              <w:t>Journal retention capped (operations/monitoring.md §2)</w:t>
            </w:r>
          </w:p>
        </w:tc>
        <w:tc>
          <w:tcPr>
            <w:tcW w:type="dxa" w:w="2269"/>
            <w:shd w:val="clear" w:color="auto" w:fill="F3F4F6"/>
          </w:tcPr>
          <w:p>
            <w:pPr>
              <w:spacing w:after="40" w:before="40"/>
            </w:pPr>
            <w:r>
              <w:rPr>
                <w:rFonts w:ascii="Arial" w:hAnsi="Arial"/>
                <w:sz w:val="20"/>
              </w:rPr>
              <w:t>Low</w:t>
            </w:r>
          </w:p>
        </w:tc>
      </w:tr>
      <w:tr>
        <w:tc>
          <w:tcPr>
            <w:tcW w:type="dxa" w:w="363"/>
            <w:shd w:val="clear" w:color="auto" w:fill="FFFFFF"/>
          </w:tcPr>
          <w:p>
            <w:pPr>
              <w:spacing w:after="40" w:before="40"/>
            </w:pPr>
            <w:r>
              <w:rPr>
                <w:rFonts w:ascii="Arial" w:hAnsi="Arial"/>
                <w:sz w:val="20"/>
              </w:rPr>
              <w:t>10</w:t>
            </w:r>
          </w:p>
        </w:tc>
        <w:tc>
          <w:tcPr>
            <w:tcW w:type="dxa" w:w="2296"/>
            <w:shd w:val="clear" w:color="auto" w:fill="FFFFFF"/>
          </w:tcPr>
          <w:p>
            <w:pPr>
              <w:spacing w:after="40" w:before="40"/>
            </w:pPr>
            <w:r>
              <w:rPr>
                <w:rFonts w:ascii="Arial" w:hAnsi="Arial"/>
                <w:sz w:val="20"/>
              </w:rPr>
              <w:t>Breach not reported in time</w:t>
            </w:r>
          </w:p>
        </w:tc>
        <w:tc>
          <w:tcPr>
            <w:tcW w:type="dxa" w:w="1212"/>
            <w:shd w:val="clear" w:color="auto" w:fill="FFFFFF"/>
          </w:tcPr>
          <w:p>
            <w:pPr>
              <w:spacing w:after="40" w:before="40"/>
            </w:pPr>
            <w:r>
              <w:rPr>
                <w:rFonts w:ascii="Arial" w:hAnsi="Arial"/>
                <w:sz w:val="20"/>
              </w:rPr>
              <w:t>Possible</w:t>
            </w:r>
          </w:p>
        </w:tc>
        <w:tc>
          <w:tcPr>
            <w:tcW w:type="dxa" w:w="590"/>
            <w:shd w:val="clear" w:color="auto" w:fill="FFFFFF"/>
          </w:tcPr>
          <w:p>
            <w:pPr>
              <w:spacing w:after="40" w:before="40"/>
            </w:pPr>
            <w:r>
              <w:rPr>
                <w:rFonts w:ascii="Arial" w:hAnsi="Arial"/>
                <w:sz w:val="20"/>
              </w:rPr>
              <w:t>Significant</w:t>
            </w:r>
          </w:p>
        </w:tc>
        <w:tc>
          <w:tcPr>
            <w:tcW w:type="dxa" w:w="2296"/>
            <w:shd w:val="clear" w:color="auto" w:fill="FFFFFF"/>
          </w:tcPr>
          <w:p>
            <w:pPr>
              <w:spacing w:after="40" w:before="40"/>
            </w:pPr>
            <w:r>
              <w:rPr>
                <w:rFonts w:ascii="Arial" w:hAnsi="Arial"/>
                <w:sz w:val="20"/>
              </w:rPr>
              <w:t>Incident steps in operations/runbook.md §5</w:t>
            </w:r>
          </w:p>
        </w:tc>
        <w:tc>
          <w:tcPr>
            <w:tcW w:type="dxa" w:w="2269"/>
            <w:shd w:val="clear" w:color="auto" w:fill="FFFFFF"/>
          </w:tcPr>
          <w:p>
            <w:pPr>
              <w:spacing w:after="40" w:before="40"/>
            </w:pPr>
            <w:r>
              <w:rPr>
                <w:rFonts w:ascii="Arial" w:hAnsi="Arial"/>
                <w:sz w:val="20"/>
              </w:rPr>
              <w:t>[TBC – Philip: breach procedure, ICO 72-hour reporting]</w:t>
            </w:r>
          </w:p>
        </w:tc>
      </w:tr>
    </w:tbl>
    <w:p>
      <w:pPr>
        <w:spacing w:after="80"/>
      </w:pPr>
    </w:p>
    <w:p>
      <w:pPr>
        <w:keepNext/>
        <w:spacing w:before="200" w:after="80"/>
        <w:outlineLvl w:val="1"/>
      </w:pPr>
      <w:r>
        <w:rPr>
          <w:rFonts w:ascii="Arial" w:hAnsi="Arial"/>
          <w:b/>
          <w:color w:val="1F2937"/>
          <w:sz w:val="26"/>
        </w:rPr>
        <w:t>6. Sign-off</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3122"/>
            <w:shd w:val="clear" w:color="auto" w:fill="374151"/>
          </w:tcPr>
          <w:p>
            <w:pPr>
              <w:spacing w:after="40" w:before="40"/>
            </w:pPr>
            <w:r>
              <w:rPr>
                <w:rFonts w:ascii="Arial" w:hAnsi="Arial"/>
                <w:b/>
                <w:color w:val="FFFFFF"/>
                <w:sz w:val="20"/>
              </w:rPr>
              <w:t>Item</w:t>
            </w:r>
          </w:p>
        </w:tc>
        <w:tc>
          <w:tcPr>
            <w:tcW w:type="dxa" w:w="1403"/>
            <w:shd w:val="clear" w:color="auto" w:fill="374151"/>
          </w:tcPr>
          <w:p>
            <w:pPr>
              <w:spacing w:after="40" w:before="40"/>
            </w:pPr>
            <w:r>
              <w:rPr>
                <w:rFonts w:ascii="Arial" w:hAnsi="Arial"/>
                <w:b/>
                <w:color w:val="FFFFFF"/>
                <w:sz w:val="20"/>
              </w:rPr>
              <w:t>Name / date</w:t>
            </w:r>
          </w:p>
        </w:tc>
        <w:tc>
          <w:tcPr>
            <w:tcW w:type="dxa" w:w="4501"/>
            <w:shd w:val="clear" w:color="auto" w:fill="374151"/>
          </w:tcPr>
          <w:p>
            <w:pPr>
              <w:spacing w:after="40" w:before="40"/>
            </w:pPr>
            <w:r>
              <w:rPr>
                <w:rFonts w:ascii="Arial" w:hAnsi="Arial"/>
                <w:b/>
                <w:color w:val="FFFFFF"/>
                <w:sz w:val="20"/>
              </w:rPr>
              <w:t>Notes</w:t>
            </w:r>
          </w:p>
        </w:tc>
      </w:tr>
      <w:tr>
        <w:tc>
          <w:tcPr>
            <w:tcW w:type="dxa" w:w="3122"/>
            <w:shd w:val="clear" w:color="auto" w:fill="F3F4F6"/>
          </w:tcPr>
          <w:p>
            <w:pPr>
              <w:spacing w:after="40" w:before="40"/>
            </w:pPr>
            <w:r>
              <w:rPr>
                <w:rFonts w:ascii="Arial" w:hAnsi="Arial"/>
                <w:sz w:val="20"/>
              </w:rPr>
              <w:t>Measures approved by</w:t>
            </w:r>
          </w:p>
        </w:tc>
        <w:tc>
          <w:tcPr>
            <w:tcW w:type="dxa" w:w="1403"/>
            <w:shd w:val="clear" w:color="auto" w:fill="F3F4F6"/>
          </w:tcPr>
          <w:p>
            <w:pPr>
              <w:spacing w:after="40" w:before="40"/>
            </w:pPr>
            <w:r>
              <w:rPr>
                <w:rFonts w:ascii="Arial" w:hAnsi="Arial"/>
                <w:sz w:val="20"/>
              </w:rPr>
              <w:t>[TBC – Philip]</w:t>
            </w:r>
          </w:p>
        </w:tc>
        <w:tc>
          <w:tcPr>
            <w:tcW w:type="dxa" w:w="4501"/>
            <w:shd w:val="clear" w:color="auto" w:fill="F3F4F6"/>
          </w:tcPr>
          <w:p>
            <w:pPr>
              <w:spacing w:after="40" w:before="40"/>
            </w:pPr>
            <w:r>
              <w:rPr>
                <w:rFonts w:ascii="Arial" w:hAnsi="Arial"/>
                <w:sz w:val="20"/>
              </w:rPr>
            </w:r>
          </w:p>
        </w:tc>
      </w:tr>
      <w:tr>
        <w:tc>
          <w:tcPr>
            <w:tcW w:type="dxa" w:w="3122"/>
            <w:shd w:val="clear" w:color="auto" w:fill="FFFFFF"/>
          </w:tcPr>
          <w:p>
            <w:pPr>
              <w:spacing w:after="40" w:before="40"/>
            </w:pPr>
            <w:r>
              <w:rPr>
                <w:rFonts w:ascii="Arial" w:hAnsi="Arial"/>
                <w:sz w:val="20"/>
              </w:rPr>
              <w:t>Residual risks approved by</w:t>
            </w:r>
          </w:p>
        </w:tc>
        <w:tc>
          <w:tcPr>
            <w:tcW w:type="dxa" w:w="1403"/>
            <w:shd w:val="clear" w:color="auto" w:fill="FFFFFF"/>
          </w:tcPr>
          <w:p>
            <w:pPr>
              <w:spacing w:after="40" w:before="40"/>
            </w:pPr>
            <w:r>
              <w:rPr>
                <w:rFonts w:ascii="Arial" w:hAnsi="Arial"/>
                <w:sz w:val="20"/>
              </w:rPr>
              <w:t>[TBC – Philip]</w:t>
            </w:r>
          </w:p>
        </w:tc>
        <w:tc>
          <w:tcPr>
            <w:tcW w:type="dxa" w:w="4501"/>
            <w:shd w:val="clear" w:color="auto" w:fill="FFFFFF"/>
          </w:tcPr>
          <w:p>
            <w:pPr>
              <w:spacing w:after="40" w:before="40"/>
            </w:pPr>
            <w:r>
              <w:rPr>
                <w:rFonts w:ascii="Arial" w:hAnsi="Arial"/>
                <w:sz w:val="20"/>
              </w:rPr>
              <w:t>Medium residuals 7 and 8 need a decision or a fix before go-live</w:t>
            </w:r>
          </w:p>
        </w:tc>
      </w:tr>
      <w:tr>
        <w:tc>
          <w:tcPr>
            <w:tcW w:type="dxa" w:w="3122"/>
            <w:shd w:val="clear" w:color="auto" w:fill="F3F4F6"/>
          </w:tcPr>
          <w:p>
            <w:pPr>
              <w:spacing w:after="40" w:before="40"/>
            </w:pPr>
            <w:r>
              <w:rPr>
                <w:rFonts w:ascii="Arial" w:hAnsi="Arial"/>
                <w:sz w:val="20"/>
              </w:rPr>
              <w:t>DPO / data-protection advice</w:t>
            </w:r>
          </w:p>
        </w:tc>
        <w:tc>
          <w:tcPr>
            <w:tcW w:type="dxa" w:w="1403"/>
            <w:shd w:val="clear" w:color="auto" w:fill="F3F4F6"/>
          </w:tcPr>
          <w:p>
            <w:pPr>
              <w:spacing w:after="40" w:before="40"/>
            </w:pPr>
            <w:r>
              <w:rPr>
                <w:rFonts w:ascii="Arial" w:hAnsi="Arial"/>
                <w:sz w:val="20"/>
              </w:rPr>
              <w:t>[TBC – Philip]</w:t>
            </w:r>
          </w:p>
        </w:tc>
        <w:tc>
          <w:tcPr>
            <w:tcW w:type="dxa" w:w="4501"/>
            <w:shd w:val="clear" w:color="auto" w:fill="F3F4F6"/>
          </w:tcPr>
          <w:p>
            <w:pPr>
              <w:spacing w:after="40" w:before="40"/>
            </w:pPr>
            <w:r>
              <w:rPr>
                <w:rFonts w:ascii="Arial" w:hAnsi="Arial"/>
                <w:sz w:val="20"/>
              </w:rPr>
              <w:t>whether the church has a DPO or adviser</w:t>
            </w:r>
          </w:p>
        </w:tc>
      </w:tr>
      <w:tr>
        <w:tc>
          <w:tcPr>
            <w:tcW w:type="dxa" w:w="3122"/>
            <w:shd w:val="clear" w:color="auto" w:fill="FFFFFF"/>
          </w:tcPr>
          <w:p>
            <w:pPr>
              <w:spacing w:after="40" w:before="40"/>
            </w:pPr>
            <w:r>
              <w:rPr>
                <w:rFonts w:ascii="Arial" w:hAnsi="Arial"/>
                <w:sz w:val="20"/>
              </w:rPr>
              <w:t>ICO registration (data protection fee)</w:t>
            </w:r>
          </w:p>
        </w:tc>
        <w:tc>
          <w:tcPr>
            <w:tcW w:type="dxa" w:w="1403"/>
            <w:shd w:val="clear" w:color="auto" w:fill="FFFFFF"/>
          </w:tcPr>
          <w:p>
            <w:pPr>
              <w:spacing w:after="40" w:before="40"/>
            </w:pPr>
            <w:r>
              <w:rPr>
                <w:rFonts w:ascii="Arial" w:hAnsi="Arial"/>
                <w:sz w:val="20"/>
              </w:rPr>
              <w:t>[TBC – Philip]</w:t>
            </w:r>
          </w:p>
        </w:tc>
        <w:tc>
          <w:tcPr>
            <w:tcW w:type="dxa" w:w="4501"/>
            <w:shd w:val="clear" w:color="auto" w:fill="FFFFFF"/>
          </w:tcPr>
          <w:p>
            <w:pPr>
              <w:spacing w:after="40" w:before="40"/>
            </w:pPr>
            <w:r>
              <w:rPr>
                <w:rFonts w:ascii="Arial" w:hAnsi="Arial"/>
                <w:sz w:val="20"/>
              </w:rPr>
              <w:t>open in STATE.md Blocked</w:t>
            </w:r>
          </w:p>
        </w:tc>
      </w:tr>
      <w:tr>
        <w:tc>
          <w:tcPr>
            <w:tcW w:type="dxa" w:w="3122"/>
            <w:shd w:val="clear" w:color="auto" w:fill="F3F4F6"/>
          </w:tcPr>
          <w:p>
            <w:pPr>
              <w:spacing w:after="40" w:before="40"/>
            </w:pPr>
            <w:r>
              <w:rPr>
                <w:rFonts w:ascii="Arial" w:hAnsi="Arial"/>
                <w:sz w:val="20"/>
              </w:rPr>
              <w:t>Review date</w:t>
            </w:r>
          </w:p>
        </w:tc>
        <w:tc>
          <w:tcPr>
            <w:tcW w:type="dxa" w:w="1403"/>
            <w:shd w:val="clear" w:color="auto" w:fill="F3F4F6"/>
          </w:tcPr>
          <w:p>
            <w:pPr>
              <w:spacing w:after="40" w:before="40"/>
            </w:pPr>
            <w:r>
              <w:rPr>
                <w:rFonts w:ascii="Arial" w:hAnsi="Arial"/>
                <w:sz w:val="20"/>
              </w:rPr>
              <w:t>[TBC – Philip]</w:t>
            </w:r>
          </w:p>
        </w:tc>
        <w:tc>
          <w:tcPr>
            <w:tcW w:type="dxa" w:w="4501"/>
            <w:shd w:val="clear" w:color="auto" w:fill="F3F4F6"/>
          </w:tcPr>
          <w:p>
            <w:pPr>
              <w:spacing w:after="40" w:before="40"/>
            </w:pPr>
            <w:r>
              <w:rPr>
                <w:rFonts w:ascii="Arial" w:hAnsi="Arial"/>
                <w:sz w:val="20"/>
              </w:rPr>
              <w:t>suggest annually, or on any change to the data collected</w:t>
            </w:r>
          </w:p>
        </w:tc>
      </w:tr>
    </w:tbl>
    <w:p>
      <w:pPr>
        <w:spacing w:after="80"/>
      </w:pPr>
    </w:p>
    <w:p>
      <w:pPr>
        <w:keepNext/>
        <w:spacing w:before="280" w:after="120"/>
        <w:outlineLvl w:val="0"/>
      </w:pPr>
      <w:r>
        <w:rPr>
          <w:rFonts w:ascii="Arial" w:hAnsi="Arial"/>
          <w:b/>
          <w:color w:val="111827"/>
          <w:sz w:val="32"/>
        </w:rPr>
        <w:t>Annex B: Privacy Notice (draft)</w:t>
      </w:r>
    </w:p>
    <w:p>
      <w:pPr>
        <w:spacing w:after="80"/>
      </w:pPr>
      <w:r>
        <w:rPr>
          <w:rFonts w:ascii="Arial" w:hAnsi="Arial"/>
          <w:sz w:val="22"/>
        </w:rPr>
        <w:t xml:space="preserve">Status: </w:t>
      </w:r>
      <w:r>
        <w:rPr>
          <w:rFonts w:ascii="Arial" w:hAnsi="Arial"/>
          <w:b/>
          <w:sz w:val="22"/>
        </w:rPr>
        <w:t>draft for Philip's review</w:t>
      </w:r>
      <w:r>
        <w:rPr>
          <w:rFonts w:ascii="Arial" w:hAnsi="Arial"/>
          <w:sz w:val="22"/>
        </w:rPr>
        <w:t xml:space="preserve">, 13/10/2026. Content follows the UK GDPR Article 13 checklist (ICO: what privacy information should we provide? (https://ico.org.uk/for-organisations/uk-gdpr-guidance-and-resources/individual-rights/the-right-to-be-informed/what-privacy-information-should-we-provide/)). Every </w:t>
      </w:r>
      <w:r>
        <w:rPr>
          <w:rFonts w:ascii="Consolas" w:hAnsi="Consolas"/>
          <w:rFonts w:ascii="Consolas" w:hAnsi="Consolas"/>
          <w:sz w:val="20"/>
        </w:rPr>
        <w:t>[TBC – Philip]</w:t>
      </w:r>
      <w:r>
        <w:rPr>
          <w:rFonts w:ascii="Arial" w:hAnsi="Arial"/>
          <w:sz w:val="22"/>
        </w:rPr>
        <w:t xml:space="preserve"> must be resolved, and the lawful bases confirmed in </w:t>
      </w:r>
      <w:r>
        <w:rPr>
          <w:rFonts w:ascii="Consolas" w:hAnsi="Consolas"/>
          <w:rFonts w:ascii="Consolas" w:hAnsi="Consolas"/>
          <w:sz w:val="20"/>
        </w:rPr>
        <w:t>governance/dpia.md</w:t>
      </w:r>
      <w:r>
        <w:rPr>
          <w:rFonts w:ascii="Arial" w:hAnsi="Arial"/>
          <w:sz w:val="22"/>
        </w:rPr>
        <w:t xml:space="preserve"> §3, before this is published. Wording is for parents and volunteers; a shorter version for older students: </w:t>
      </w:r>
      <w:r>
        <w:rPr>
          <w:rFonts w:ascii="Consolas" w:hAnsi="Consolas"/>
          <w:rFonts w:ascii="Consolas" w:hAnsi="Consolas"/>
          <w:sz w:val="20"/>
        </w:rPr>
        <w:t>[TBC – Philip]</w:t>
      </w:r>
      <w:r>
        <w:rPr>
          <w:rFonts w:ascii="Arial" w:hAnsi="Arial"/>
          <w:sz w:val="22"/>
        </w:rPr>
        <w:t>.</w:t>
      </w:r>
    </w:p>
    <w:p>
      <w:pPr>
        <w:keepNext/>
        <w:spacing w:before="200" w:after="80"/>
        <w:outlineLvl w:val="1"/>
      </w:pPr>
      <w:r>
        <w:rPr>
          <w:rFonts w:ascii="Arial" w:hAnsi="Arial"/>
          <w:b/>
          <w:color w:val="1F2937"/>
          <w:sz w:val="26"/>
        </w:rPr>
        <w:t>How Varangians uses your and your child's information</w:t>
      </w:r>
    </w:p>
    <w:p>
      <w:pPr>
        <w:spacing w:after="80"/>
      </w:pPr>
      <w:r>
        <w:rPr>
          <w:rFonts w:ascii="Arial" w:hAnsi="Arial"/>
          <w:b/>
          <w:sz w:val="22"/>
        </w:rPr>
        <w:t>Who we are.</w:t>
      </w:r>
      <w:r>
        <w:rPr>
          <w:rFonts w:ascii="Arial" w:hAnsi="Arial"/>
          <w:sz w:val="22"/>
        </w:rPr>
        <w:t xml:space="preserve"> Varangians is the youth club of Shrewsbury Orthodox Church. The church is the data controller for the information in the Varangians app. </w:t>
      </w:r>
      <w:r>
        <w:rPr>
          <w:rFonts w:ascii="Consolas" w:hAnsi="Consolas"/>
          <w:rFonts w:ascii="Consolas" w:hAnsi="Consolas"/>
          <w:sz w:val="20"/>
        </w:rPr>
        <w:t>[TBC – Philip: legal name and address of the controller]</w:t>
      </w:r>
      <w:r>
        <w:rPr>
          <w:rFonts w:ascii="Arial" w:hAnsi="Arial"/>
          <w:sz w:val="22"/>
        </w:rPr>
        <w:t xml:space="preserve">. Contact us about your data at </w:t>
      </w:r>
      <w:r>
        <w:rPr>
          <w:rFonts w:ascii="Consolas" w:hAnsi="Consolas"/>
          <w:rFonts w:ascii="Consolas" w:hAnsi="Consolas"/>
          <w:sz w:val="20"/>
        </w:rPr>
        <w:t>[TBC – Philip: contact email]</w:t>
      </w:r>
      <w:r>
        <w:rPr>
          <w:rFonts w:ascii="Arial" w:hAnsi="Arial"/>
          <w:sz w:val="22"/>
        </w:rPr>
        <w:t>.</w:t>
      </w:r>
    </w:p>
    <w:p>
      <w:pPr>
        <w:spacing w:after="80"/>
      </w:pPr>
      <w:r>
        <w:rPr>
          <w:rFonts w:ascii="Arial" w:hAnsi="Arial"/>
          <w:b/>
          <w:sz w:val="22"/>
        </w:rPr>
        <w:t>What we hold and why.</w:t>
      </w:r>
    </w:p>
    <w:p>
      <w:pPr>
        <w:spacing w:after="40"/>
        <w:ind w:left="620" w:hanging="260"/>
      </w:pPr>
      <w:r>
        <w:rPr>
          <w:rFonts w:ascii="Arial" w:hAnsi="Arial"/>
          <w:sz w:val="22"/>
        </w:rPr>
        <w:t xml:space="preserve">•  </w:t>
      </w:r>
      <w:r>
        <w:rPr>
          <w:rFonts w:ascii="Arial" w:hAnsi="Arial"/>
          <w:b/>
          <w:sz w:val="22"/>
        </w:rPr>
        <w:t>About your child:</w:t>
      </w:r>
      <w:r>
        <w:rPr>
          <w:rFonts w:ascii="Arial" w:hAnsi="Arial"/>
          <w:sz w:val="22"/>
        </w:rPr>
        <w:t xml:space="preserve"> name, date of birth, when they joined, the lessons they have completed, their rank, badges and certificates. We use this to run the programme and to show you their progress.</w:t>
      </w:r>
    </w:p>
    <w:p>
      <w:pPr>
        <w:spacing w:after="40"/>
        <w:ind w:left="620" w:hanging="260"/>
      </w:pPr>
      <w:r>
        <w:rPr>
          <w:rFonts w:ascii="Arial" w:hAnsi="Arial"/>
          <w:sz w:val="22"/>
        </w:rPr>
        <w:t xml:space="preserve">•  </w:t>
      </w:r>
      <w:r>
        <w:rPr>
          <w:rFonts w:ascii="Arial" w:hAnsi="Arial"/>
          <w:b/>
          <w:sz w:val="22"/>
        </w:rPr>
        <w:t>Your annual consent form:</w:t>
      </w:r>
      <w:r>
        <w:rPr>
          <w:rFonts w:ascii="Arial" w:hAnsi="Arial"/>
          <w:sz w:val="22"/>
        </w:rPr>
        <w:t xml:space="preserve"> whether your child may be photographed, go on trips, and whether their information may be shared. We use this to know what your child may take part in. If the consent form has expired, a teacher cannot record new lessons for your child until it is renewed.</w:t>
      </w:r>
    </w:p>
    <w:p>
      <w:pPr>
        <w:spacing w:after="40"/>
        <w:ind w:left="620" w:hanging="260"/>
      </w:pPr>
      <w:r>
        <w:rPr>
          <w:rFonts w:ascii="Arial" w:hAnsi="Arial"/>
          <w:sz w:val="22"/>
        </w:rPr>
        <w:t xml:space="preserve">•  </w:t>
      </w:r>
      <w:r>
        <w:rPr>
          <w:rFonts w:ascii="Arial" w:hAnsi="Arial"/>
          <w:b/>
          <w:sz w:val="22"/>
        </w:rPr>
        <w:t>Health and emergency information:</w:t>
      </w:r>
      <w:r>
        <w:rPr>
          <w:rFonts w:ascii="Arial" w:hAnsi="Arial"/>
          <w:sz w:val="22"/>
        </w:rPr>
        <w:t xml:space="preserve"> emergency medical information, dietary or special educational needs, and an emergency contact. We use this only to keep your child safe at sessions and trips. Only the club's Admin and Safeguarding Officer can see it, and every time they open it, this is recorded.</w:t>
      </w:r>
    </w:p>
    <w:p>
      <w:pPr>
        <w:spacing w:after="40"/>
        <w:ind w:left="620" w:hanging="260"/>
      </w:pPr>
      <w:r>
        <w:rPr>
          <w:rFonts w:ascii="Arial" w:hAnsi="Arial"/>
          <w:sz w:val="22"/>
        </w:rPr>
        <w:t xml:space="preserve">•  </w:t>
      </w:r>
      <w:r>
        <w:rPr>
          <w:rFonts w:ascii="Arial" w:hAnsi="Arial"/>
          <w:b/>
          <w:sz w:val="22"/>
        </w:rPr>
        <w:t>About you:</w:t>
      </w:r>
      <w:r>
        <w:rPr>
          <w:rFonts w:ascii="Arial" w:hAnsi="Arial"/>
          <w:sz w:val="22"/>
        </w:rPr>
        <w:t xml:space="preserve"> your name, contact details, the email address you sign in with, and which child you are linked to.</w:t>
      </w:r>
    </w:p>
    <w:p>
      <w:pPr>
        <w:spacing w:after="40"/>
        <w:ind w:left="620" w:hanging="260"/>
      </w:pPr>
      <w:r>
        <w:rPr>
          <w:rFonts w:ascii="Arial" w:hAnsi="Arial"/>
          <w:sz w:val="22"/>
        </w:rPr>
        <w:t xml:space="preserve">•  </w:t>
      </w:r>
      <w:r>
        <w:rPr>
          <w:rFonts w:ascii="Arial" w:hAnsi="Arial"/>
          <w:b/>
          <w:sz w:val="22"/>
        </w:rPr>
        <w:t>Volunteers:</w:t>
      </w:r>
      <w:r>
        <w:rPr>
          <w:rFonts w:ascii="Arial" w:hAnsi="Arial"/>
          <w:sz w:val="22"/>
        </w:rPr>
        <w:t xml:space="preserve"> your name, email, role, and your DBS check (date, expiry, certificate number and outcome). Only the Admin and Safeguarding Officer can see DBS records.</w:t>
      </w:r>
    </w:p>
    <w:p>
      <w:pPr>
        <w:spacing w:after="40"/>
        <w:ind w:left="620" w:hanging="260"/>
      </w:pPr>
      <w:r>
        <w:rPr>
          <w:rFonts w:ascii="Arial" w:hAnsi="Arial"/>
          <w:sz w:val="22"/>
        </w:rPr>
        <w:t xml:space="preserve">•  </w:t>
      </w:r>
      <w:r>
        <w:rPr>
          <w:rFonts w:ascii="Arial" w:hAnsi="Arial"/>
          <w:b/>
          <w:sz w:val="22"/>
        </w:rPr>
        <w:t>When anyone uses the app:</w:t>
      </w:r>
      <w:r>
        <w:rPr>
          <w:rFonts w:ascii="Arial" w:hAnsi="Arial"/>
          <w:sz w:val="22"/>
        </w:rPr>
        <w:t xml:space="preserve"> sign-in details (your password is stored only in scrambled form), two-factor authentication settings, and a security log of who opened health or DBS records.</w:t>
      </w:r>
    </w:p>
    <w:p>
      <w:pPr>
        <w:spacing w:after="80"/>
      </w:pPr>
      <w:r>
        <w:rPr>
          <w:rFonts w:ascii="Arial" w:hAnsi="Arial"/>
          <w:b/>
          <w:sz w:val="22"/>
        </w:rPr>
        <w:t>Our legal basis.</w:t>
      </w:r>
      <w:r>
        <w:rPr>
          <w:rFonts w:ascii="Arial" w:hAnsi="Arial"/>
          <w:sz w:val="22"/>
        </w:rPr>
        <w:t xml:space="preserve"> </w:t>
      </w:r>
      <w:r>
        <w:rPr>
          <w:rFonts w:ascii="Consolas" w:hAnsi="Consolas"/>
          <w:rFonts w:ascii="Consolas" w:hAnsi="Consolas"/>
          <w:sz w:val="20"/>
        </w:rPr>
        <w:t>[TBC – Philip: from dpia.md §3]</w:t>
      </w:r>
      <w:r>
        <w:rPr>
          <w:rFonts w:ascii="Arial" w:hAnsi="Arial"/>
          <w:sz w:val="22"/>
        </w:rPr>
        <w:t xml:space="preserve">. For example: running the club is in our legitimate interests; photos and trips rely on your consent, which you can withdraw at any time; health information is processed as part of the church's not-for-profit activities with its members </w:t>
      </w:r>
      <w:r>
        <w:rPr>
          <w:rFonts w:ascii="Consolas" w:hAnsi="Consolas"/>
          <w:rFonts w:ascii="Consolas" w:hAnsi="Consolas"/>
          <w:sz w:val="20"/>
        </w:rPr>
        <w:t>[or: with your explicit consent]</w:t>
      </w:r>
      <w:r>
        <w:rPr>
          <w:rFonts w:ascii="Arial" w:hAnsi="Arial"/>
          <w:sz w:val="22"/>
        </w:rPr>
        <w:t>.</w:t>
      </w:r>
    </w:p>
    <w:p>
      <w:pPr>
        <w:spacing w:after="80"/>
      </w:pPr>
      <w:r>
        <w:rPr>
          <w:rFonts w:ascii="Arial" w:hAnsi="Arial"/>
          <w:b/>
          <w:sz w:val="22"/>
        </w:rPr>
        <w:t>Who else handles it.</w:t>
      </w:r>
      <w:r>
        <w:rPr>
          <w:rFonts w:ascii="Arial" w:hAnsi="Arial"/>
          <w:sz w:val="22"/>
        </w:rPr>
        <w:t xml:space="preserve"> We do not sell or share your information for marketing. It is stored and processed for us by:</w:t>
      </w:r>
    </w:p>
    <w:p>
      <w:pPr>
        <w:spacing w:after="40"/>
        <w:ind w:left="620" w:hanging="260"/>
      </w:pPr>
      <w:r>
        <w:rPr>
          <w:rFonts w:ascii="Arial" w:hAnsi="Arial"/>
          <w:sz w:val="22"/>
        </w:rPr>
        <w:t xml:space="preserve">•  </w:t>
      </w:r>
      <w:r>
        <w:rPr>
          <w:rFonts w:ascii="Arial" w:hAnsi="Arial"/>
          <w:sz w:val="22"/>
        </w:rPr>
        <w:t>DigitalOcean (our server, in London);</w:t>
      </w:r>
    </w:p>
    <w:p>
      <w:pPr>
        <w:spacing w:after="40"/>
        <w:ind w:left="620" w:hanging="260"/>
      </w:pPr>
      <w:r>
        <w:rPr>
          <w:rFonts w:ascii="Arial" w:hAnsi="Arial"/>
          <w:sz w:val="22"/>
        </w:rPr>
        <w:t xml:space="preserve">•  </w:t>
      </w:r>
      <w:r>
        <w:rPr>
          <w:rFonts w:ascii="Arial" w:hAnsi="Arial"/>
          <w:sz w:val="22"/>
        </w:rPr>
        <w:t xml:space="preserve">Cloudflare (encrypted backup copies) </w:t>
      </w:r>
      <w:r>
        <w:rPr>
          <w:rFonts w:ascii="Consolas" w:hAnsi="Consolas"/>
          <w:rFonts w:ascii="Consolas" w:hAnsi="Consolas"/>
          <w:sz w:val="20"/>
        </w:rPr>
        <w:t>[TBC – Philip: location]</w:t>
      </w:r>
      <w:r>
        <w:rPr>
          <w:rFonts w:ascii="Arial" w:hAnsi="Arial"/>
          <w:sz w:val="22"/>
        </w:rPr>
        <w:t>;</w:t>
      </w:r>
    </w:p>
    <w:p>
      <w:pPr>
        <w:spacing w:after="40"/>
        <w:ind w:left="620" w:hanging="260"/>
      </w:pPr>
      <w:r>
        <w:rPr>
          <w:rFonts w:ascii="Arial" w:hAnsi="Arial"/>
          <w:sz w:val="22"/>
        </w:rPr>
        <w:t xml:space="preserve">•  </w:t>
      </w:r>
      <w:r>
        <w:rPr>
          <w:rFonts w:ascii="Arial" w:hAnsi="Arial"/>
          <w:sz w:val="22"/>
        </w:rPr>
        <w:t xml:space="preserve">Microsoft (sending emails from the club's address) </w:t>
      </w:r>
      <w:r>
        <w:rPr>
          <w:rFonts w:ascii="Consolas" w:hAnsi="Consolas"/>
          <w:rFonts w:ascii="Consolas" w:hAnsi="Consolas"/>
          <w:sz w:val="20"/>
        </w:rPr>
        <w:t>[TBC – Philip: location]</w:t>
      </w:r>
      <w:r>
        <w:rPr>
          <w:rFonts w:ascii="Arial" w:hAnsi="Arial"/>
          <w:sz w:val="22"/>
        </w:rPr>
        <w:t>.</w:t>
      </w:r>
    </w:p>
    <w:p>
      <w:pPr>
        <w:spacing w:after="80"/>
      </w:pPr>
      <w:r>
        <w:rPr>
          <w:rFonts w:ascii="Arial" w:hAnsi="Arial"/>
          <w:sz w:val="22"/>
        </w:rPr>
        <w:t xml:space="preserve">Each acts only on our instructions. We share information with others only where the law requires it, or to protect a child (for example, telling emergency services about a medical condition). </w:t>
      </w:r>
      <w:r>
        <w:rPr>
          <w:rFonts w:ascii="Consolas" w:hAnsi="Consolas"/>
          <w:rFonts w:ascii="Consolas" w:hAnsi="Consolas"/>
          <w:sz w:val="20"/>
        </w:rPr>
        <w:t>[TBC – Philip: any other recipients, e.g. the diocese]</w:t>
      </w:r>
    </w:p>
    <w:p>
      <w:pPr>
        <w:spacing w:after="80"/>
      </w:pPr>
      <w:r>
        <w:rPr>
          <w:rFonts w:ascii="Arial" w:hAnsi="Arial"/>
          <w:b/>
          <w:sz w:val="22"/>
        </w:rPr>
        <w:t>Transfers outside the UK.</w:t>
      </w:r>
      <w:r>
        <w:rPr>
          <w:rFonts w:ascii="Arial" w:hAnsi="Arial"/>
          <w:sz w:val="22"/>
        </w:rPr>
        <w:t xml:space="preserve"> </w:t>
      </w:r>
      <w:r>
        <w:rPr>
          <w:rFonts w:ascii="Consolas" w:hAnsi="Consolas"/>
          <w:rFonts w:ascii="Consolas" w:hAnsi="Consolas"/>
          <w:sz w:val="20"/>
        </w:rPr>
        <w:t>[TBC – Philip: none, or which and the safeguard]</w:t>
      </w:r>
    </w:p>
    <w:p>
      <w:pPr>
        <w:spacing w:after="80"/>
      </w:pPr>
      <w:r>
        <w:rPr>
          <w:rFonts w:ascii="Arial" w:hAnsi="Arial"/>
          <w:b/>
          <w:sz w:val="22"/>
        </w:rPr>
        <w:t>How long we keep it.</w:t>
      </w:r>
    </w:p>
    <w:p>
      <w:pPr>
        <w:spacing w:after="40"/>
        <w:ind w:left="620" w:hanging="260"/>
      </w:pPr>
      <w:r>
        <w:rPr>
          <w:rFonts w:ascii="Arial" w:hAnsi="Arial"/>
          <w:sz w:val="22"/>
        </w:rPr>
        <w:t xml:space="preserve">•  </w:t>
      </w:r>
      <w:r>
        <w:rPr>
          <w:rFonts w:ascii="Arial" w:hAnsi="Arial"/>
          <w:sz w:val="22"/>
        </w:rPr>
        <w:t>Your child's records, including consent and health information: 3 years after they leave the club, then deleted.</w:t>
      </w:r>
    </w:p>
    <w:p>
      <w:pPr>
        <w:spacing w:after="40"/>
        <w:ind w:left="620" w:hanging="260"/>
      </w:pPr>
      <w:r>
        <w:rPr>
          <w:rFonts w:ascii="Arial" w:hAnsi="Arial"/>
          <w:sz w:val="22"/>
        </w:rPr>
        <w:t xml:space="preserve">•  </w:t>
      </w:r>
      <w:r>
        <w:rPr>
          <w:rFonts w:ascii="Arial" w:hAnsi="Arial"/>
          <w:sz w:val="22"/>
        </w:rPr>
        <w:t>DBS records: 6 years after the check expires or the volunteer leaves.</w:t>
      </w:r>
    </w:p>
    <w:p>
      <w:pPr>
        <w:spacing w:after="40"/>
        <w:ind w:left="620" w:hanging="260"/>
      </w:pPr>
      <w:r>
        <w:rPr>
          <w:rFonts w:ascii="Arial" w:hAnsi="Arial"/>
          <w:sz w:val="22"/>
        </w:rPr>
        <w:t xml:space="preserve">•  </w:t>
      </w:r>
      <w:r>
        <w:rPr>
          <w:rFonts w:ascii="Arial" w:hAnsi="Arial"/>
          <w:sz w:val="22"/>
        </w:rPr>
        <w:t>The security log of who viewed health or DBS records: 6 years.</w:t>
      </w:r>
    </w:p>
    <w:p>
      <w:pPr>
        <w:spacing w:after="40"/>
        <w:ind w:left="620" w:hanging="260"/>
      </w:pPr>
      <w:r>
        <w:rPr>
          <w:rFonts w:ascii="Arial" w:hAnsi="Arial"/>
          <w:sz w:val="22"/>
        </w:rPr>
        <w:t xml:space="preserve">•  </w:t>
      </w:r>
      <w:r>
        <w:rPr>
          <w:rFonts w:ascii="Arial" w:hAnsi="Arial"/>
          <w:sz w:val="22"/>
        </w:rPr>
        <w:t xml:space="preserve">Backup copies are kept for up to </w:t>
      </w:r>
      <w:r>
        <w:rPr>
          <w:rFonts w:ascii="Consolas" w:hAnsi="Consolas"/>
          <w:rFonts w:ascii="Consolas" w:hAnsi="Consolas"/>
          <w:sz w:val="20"/>
        </w:rPr>
        <w:t>[TBC – Philip: e.g. 35 days]</w:t>
      </w:r>
      <w:r>
        <w:rPr>
          <w:rFonts w:ascii="Arial" w:hAnsi="Arial"/>
          <w:sz w:val="22"/>
        </w:rPr>
        <w:t xml:space="preserve"> after that, then overwritten.</w:t>
      </w:r>
    </w:p>
    <w:p>
      <w:pPr>
        <w:spacing w:after="80"/>
      </w:pPr>
      <w:r>
        <w:rPr>
          <w:rFonts w:ascii="Arial" w:hAnsi="Arial"/>
          <w:b/>
          <w:sz w:val="22"/>
        </w:rPr>
        <w:t>Your rights.</w:t>
      </w:r>
      <w:r>
        <w:rPr>
          <w:rFonts w:ascii="Arial" w:hAnsi="Arial"/>
          <w:sz w:val="22"/>
        </w:rPr>
        <w:t xml:space="preserve"> You can ask to see the information we hold, to correct it, or for it to be deleted or restricted, and you can object to how we use it. Where we rely on your consent you can withdraw it at any time. For your child, a parent can usually exercise these rights; older children may be able to do so themselves. Contact </w:t>
      </w:r>
      <w:r>
        <w:rPr>
          <w:rFonts w:ascii="Consolas" w:hAnsi="Consolas"/>
          <w:rFonts w:ascii="Consolas" w:hAnsi="Consolas"/>
          <w:sz w:val="20"/>
        </w:rPr>
        <w:t>[TBC – Philip]</w:t>
      </w:r>
      <w:r>
        <w:rPr>
          <w:rFonts w:ascii="Arial" w:hAnsi="Arial"/>
          <w:sz w:val="22"/>
        </w:rPr>
        <w:t>. We will reply within one month.</w:t>
      </w:r>
    </w:p>
    <w:p>
      <w:pPr>
        <w:spacing w:after="80"/>
      </w:pPr>
      <w:r>
        <w:rPr>
          <w:rFonts w:ascii="Arial" w:hAnsi="Arial"/>
          <w:b/>
          <w:sz w:val="22"/>
        </w:rPr>
        <w:t>Automated decisions.</w:t>
      </w:r>
      <w:r>
        <w:rPr>
          <w:rFonts w:ascii="Arial" w:hAnsi="Arial"/>
          <w:sz w:val="22"/>
        </w:rPr>
        <w:t xml:space="preserve"> The app promotes a student automatically when every lesson in their rank is complete, and it stops new lessons being recorded while consent has expired. These are fixed club rules applied to the records, not profiling, and a teacher or the Admin can correct them.</w:t>
      </w:r>
    </w:p>
    <w:p>
      <w:pPr>
        <w:spacing w:after="80"/>
      </w:pPr>
      <w:r>
        <w:rPr>
          <w:rFonts w:ascii="Arial" w:hAnsi="Arial"/>
          <w:b/>
          <w:sz w:val="22"/>
        </w:rPr>
        <w:t>Do you have to give us this information?</w:t>
      </w:r>
      <w:r>
        <w:rPr>
          <w:rFonts w:ascii="Arial" w:hAnsi="Arial"/>
          <w:sz w:val="22"/>
        </w:rPr>
        <w:t xml:space="preserve"> We need the consent form and emergency information before your child can take part in sessions. </w:t>
      </w:r>
      <w:r>
        <w:rPr>
          <w:rFonts w:ascii="Consolas" w:hAnsi="Consolas"/>
          <w:rFonts w:ascii="Consolas" w:hAnsi="Consolas"/>
          <w:sz w:val="20"/>
        </w:rPr>
        <w:t>[TBC – Philip: confirm]</w:t>
      </w:r>
    </w:p>
    <w:p>
      <w:pPr>
        <w:spacing w:after="80"/>
      </w:pPr>
      <w:r>
        <w:rPr>
          <w:rFonts w:ascii="Arial" w:hAnsi="Arial"/>
          <w:b/>
          <w:sz w:val="22"/>
        </w:rPr>
        <w:t>Complaints.</w:t>
      </w:r>
      <w:r>
        <w:rPr>
          <w:rFonts w:ascii="Arial" w:hAnsi="Arial"/>
          <w:sz w:val="22"/>
        </w:rPr>
        <w:t xml:space="preserve"> Please contact us first. You can also complain to the Information Commissioner's Office: ico.org.uk/make-a-complaint (https://ico.org.uk/make-a-complaint/), 0303 123 1113.</w:t>
      </w:r>
    </w:p>
    <w:p>
      <w:pPr>
        <w:spacing w:after="80"/>
      </w:pPr>
      <w:r>
        <w:rPr>
          <w:rFonts w:ascii="Arial" w:hAnsi="Arial"/>
          <w:b/>
          <w:sz w:val="22"/>
        </w:rPr>
        <w:t>Changes.</w:t>
      </w:r>
      <w:r>
        <w:rPr>
          <w:rFonts w:ascii="Arial" w:hAnsi="Arial"/>
          <w:sz w:val="22"/>
        </w:rPr>
        <w:t xml:space="preserve"> Last updated </w:t>
      </w:r>
      <w:r>
        <w:rPr>
          <w:rFonts w:ascii="Consolas" w:hAnsi="Consolas"/>
          <w:rFonts w:ascii="Consolas" w:hAnsi="Consolas"/>
          <w:sz w:val="20"/>
        </w:rPr>
        <w:t>[TBC – date of publication]</w:t>
      </w:r>
      <w:r>
        <w:rPr>
          <w:rFonts w:ascii="Arial" w:hAnsi="Arial"/>
          <w:sz w:val="22"/>
        </w:rPr>
        <w:t>.</w:t>
      </w:r>
    </w:p>
    <w:p>
      <w:pPr>
        <w:keepNext/>
        <w:spacing w:before="200" w:after="80"/>
        <w:outlineLvl w:val="1"/>
      </w:pPr>
      <w:r>
        <w:rPr>
          <w:rFonts w:ascii="Arial" w:hAnsi="Arial"/>
          <w:b/>
          <w:color w:val="1F2937"/>
          <w:sz w:val="26"/>
        </w:rPr>
        <w:t>Publication notes (not part of the notice)</w:t>
      </w:r>
    </w:p>
    <w:p>
      <w:pPr>
        <w:spacing w:after="40"/>
        <w:ind w:left="620" w:hanging="260"/>
      </w:pPr>
      <w:r>
        <w:rPr>
          <w:rFonts w:ascii="Arial" w:hAnsi="Arial"/>
          <w:sz w:val="22"/>
        </w:rPr>
        <w:t xml:space="preserve">•  </w:t>
      </w:r>
      <w:r>
        <w:rPr>
          <w:rFonts w:ascii="Arial" w:hAnsi="Arial"/>
          <w:sz w:val="22"/>
        </w:rPr>
        <w:t xml:space="preserve">Where it appears: linked from the app's sign-in page and footer </w:t>
      </w:r>
      <w:r>
        <w:rPr>
          <w:rFonts w:ascii="Consolas" w:hAnsi="Consolas"/>
          <w:rFonts w:ascii="Consolas" w:hAnsi="Consolas"/>
          <w:sz w:val="20"/>
        </w:rPr>
        <w:t>[TBC – needs a small code change]</w:t>
      </w:r>
      <w:r>
        <w:rPr>
          <w:rFonts w:ascii="Arial" w:hAnsi="Arial"/>
          <w:sz w:val="22"/>
        </w:rPr>
        <w:t xml:space="preserve">, given on paper with the consent form, and in the guardian invite email </w:t>
      </w:r>
      <w:r>
        <w:rPr>
          <w:rFonts w:ascii="Consolas" w:hAnsi="Consolas"/>
          <w:rFonts w:ascii="Consolas" w:hAnsi="Consolas"/>
          <w:sz w:val="20"/>
        </w:rPr>
        <w:t>[TBC – Philip]</w:t>
      </w:r>
      <w:r>
        <w:rPr>
          <w:rFonts w:ascii="Arial" w:hAnsi="Arial"/>
          <w:sz w:val="22"/>
        </w:rPr>
        <w:t>.</w:t>
      </w:r>
    </w:p>
    <w:p>
      <w:pPr>
        <w:spacing w:after="40"/>
        <w:ind w:left="620" w:hanging="260"/>
      </w:pPr>
      <w:r>
        <w:rPr>
          <w:rFonts w:ascii="Arial" w:hAnsi="Arial"/>
          <w:sz w:val="22"/>
        </w:rPr>
        <w:t xml:space="preserve">•  </w:t>
      </w:r>
      <w:r>
        <w:rPr>
          <w:rFonts w:ascii="Arial" w:hAnsi="Arial"/>
          <w:sz w:val="22"/>
        </w:rPr>
        <w:t>Play Store listing (</w:t>
      </w:r>
      <w:r>
        <w:rPr>
          <w:rFonts w:ascii="Consolas" w:hAnsi="Consolas"/>
          <w:rFonts w:ascii="Consolas" w:hAnsi="Consolas"/>
          <w:sz w:val="20"/>
        </w:rPr>
        <w:t>STATE.md</w:t>
      </w:r>
      <w:r>
        <w:rPr>
          <w:rFonts w:ascii="Arial" w:hAnsi="Arial"/>
          <w:sz w:val="22"/>
        </w:rPr>
        <w:t xml:space="preserve"> Next) needs a public privacy policy URL; this notice can serve once published.</w:t>
      </w:r>
    </w:p>
    <w:p>
      <w:pPr>
        <w:keepNext/>
        <w:spacing w:before="280" w:after="120"/>
        <w:outlineLvl w:val="0"/>
      </w:pPr>
      <w:r>
        <w:rPr>
          <w:rFonts w:ascii="Arial" w:hAnsi="Arial"/>
          <w:b/>
          <w:color w:val="111827"/>
          <w:sz w:val="32"/>
        </w:rPr>
        <w:t>Annex C: OWASP ASVS 5.0 Access-Control Review Checklist (evidence)</w:t>
      </w:r>
    </w:p>
    <w:p>
      <w:pPr>
        <w:spacing w:after="80"/>
      </w:pPr>
      <w:r>
        <w:rPr>
          <w:rFonts w:ascii="Arial" w:hAnsi="Arial"/>
          <w:sz w:val="22"/>
        </w:rPr>
        <w:t xml:space="preserve">Gated by </w:t>
      </w:r>
      <w:r>
        <w:rPr>
          <w:rFonts w:ascii="Consolas" w:hAnsi="Consolas"/>
          <w:rFonts w:ascii="Consolas" w:hAnsi="Consolas"/>
          <w:sz w:val="20"/>
        </w:rPr>
        <w:t>build/check-access-control.ps1</w:t>
      </w:r>
      <w:r>
        <w:rPr>
          <w:rFonts w:ascii="Arial" w:hAnsi="Arial"/>
          <w:sz w:val="22"/>
        </w:rPr>
        <w:t xml:space="preserve"> as part of </w:t>
      </w:r>
      <w:r>
        <w:rPr>
          <w:rFonts w:ascii="Consolas" w:hAnsi="Consolas"/>
          <w:rFonts w:ascii="Consolas" w:hAnsi="Consolas"/>
          <w:sz w:val="20"/>
        </w:rPr>
        <w:t>build/verify.ps1</w:t>
      </w:r>
      <w:r>
        <w:rPr>
          <w:rFonts w:ascii="Arial" w:hAnsi="Arial"/>
          <w:sz w:val="22"/>
        </w:rPr>
        <w:t xml:space="preserve">'s full run (skipped by </w:t>
      </w:r>
      <w:r>
        <w:rPr>
          <w:rFonts w:ascii="Consolas" w:hAnsi="Consolas"/>
          <w:rFonts w:ascii="Consolas" w:hAnsi="Consolas"/>
          <w:sz w:val="20"/>
        </w:rPr>
        <w:t>-Fast</w:t>
      </w:r>
      <w:r>
        <w:rPr>
          <w:rFonts w:ascii="Arial" w:hAnsi="Arial"/>
          <w:sz w:val="22"/>
        </w:rPr>
        <w:t xml:space="preserve">). This file is not decorative: the script hashes the source files listed under "Reviewed scope" below and compares that hash to the </w:t>
      </w:r>
      <w:r>
        <w:rPr>
          <w:rFonts w:ascii="Consolas" w:hAnsi="Consolas"/>
          <w:rFonts w:ascii="Consolas" w:hAnsi="Consolas"/>
          <w:sz w:val="20"/>
        </w:rPr>
        <w:t>Reviewed-hash</w:t>
      </w:r>
      <w:r>
        <w:rPr>
          <w:rFonts w:ascii="Arial" w:hAnsi="Arial"/>
          <w:sz w:val="22"/>
        </w:rPr>
        <w:t xml:space="preserve"> line at the bottom of this file. If they don't match — because any of those files changed since the last time a human worked through this checklist — the stage fails until someone re-reviews it and records the new hash (run </w:t>
      </w:r>
      <w:r>
        <w:rPr>
          <w:rFonts w:ascii="Consolas" w:hAnsi="Consolas"/>
          <w:rFonts w:ascii="Consolas" w:hAnsi="Consolas"/>
          <w:sz w:val="20"/>
        </w:rPr>
        <w:t>pwsh -File build/check-access-control.ps1 -PrintHash</w:t>
      </w:r>
      <w:r>
        <w:rPr>
          <w:rFonts w:ascii="Arial" w:hAnsi="Arial"/>
          <w:sz w:val="22"/>
        </w:rPr>
        <w:t>).</w:t>
      </w:r>
    </w:p>
    <w:p>
      <w:pPr>
        <w:spacing w:after="80"/>
      </w:pPr>
      <w:r>
        <w:rPr>
          <w:rFonts w:ascii="Arial" w:hAnsi="Arial"/>
          <w:b/>
          <w:sz w:val="22"/>
        </w:rPr>
        <w:t>Chapter correction:</w:t>
      </w:r>
      <w:r>
        <w:rPr>
          <w:rFonts w:ascii="Arial" w:hAnsi="Arial"/>
          <w:sz w:val="22"/>
        </w:rPr>
        <w:t xml:space="preserve"> STATE.md's item wording named this "ASVS 5.0 V1", following the ASVS 4.0.3 numbering where access control was V4. ASVS 5.0 renumbered its chapters; checked against OWASP's own 5.0.0 table of contents rather than assumed — in 5.0, </w:t>
      </w:r>
      <w:r>
        <w:rPr>
          <w:rFonts w:ascii="Arial" w:hAnsi="Arial"/>
          <w:b/>
          <w:sz w:val="22"/>
        </w:rPr>
        <w:t>V1 is "Encoding and Sanitization"</w:t>
      </w:r>
      <w:r>
        <w:rPr>
          <w:rFonts w:ascii="Arial" w:hAnsi="Arial"/>
          <w:sz w:val="22"/>
        </w:rPr>
        <w:t xml:space="preserve"> and </w:t>
      </w:r>
      <w:r>
        <w:rPr>
          <w:rFonts w:ascii="Arial" w:hAnsi="Arial"/>
          <w:b/>
          <w:sz w:val="22"/>
        </w:rPr>
        <w:t>access control/authorization is V8</w:t>
      </w:r>
      <w:r>
        <w:rPr>
          <w:rFonts w:ascii="Arial" w:hAnsi="Arial"/>
          <w:sz w:val="22"/>
        </w:rPr>
        <w:t xml:space="preserve">. This checklist targets V8, with supporting items from V14 (Data Protection — the whole-entity restriction mechanism) and V16 (Security Logging — the read-audit trail), matching </w:t>
      </w:r>
      <w:r>
        <w:rPr>
          <w:rFonts w:ascii="Consolas" w:hAnsi="Consolas"/>
          <w:rFonts w:ascii="Consolas" w:hAnsi="Consolas"/>
          <w:sz w:val="20"/>
        </w:rPr>
        <w:t>adr/0004-sensitive-data-access-control.md</w:t>
      </w:r>
      <w:r>
        <w:rPr>
          <w:rFonts w:ascii="Arial" w:hAnsi="Arial"/>
          <w:sz w:val="22"/>
        </w:rPr>
        <w:t>.</w:t>
      </w:r>
    </w:p>
    <w:p>
      <w:pPr>
        <w:keepNext/>
        <w:spacing w:before="200" w:after="80"/>
        <w:outlineLvl w:val="1"/>
      </w:pPr>
      <w:r>
        <w:rPr>
          <w:rFonts w:ascii="Arial" w:hAnsi="Arial"/>
          <w:b/>
          <w:color w:val="1F2937"/>
          <w:sz w:val="26"/>
        </w:rPr>
        <w:t>What's automated (build/check-access-control.ps1), not repeated here</w:t>
      </w:r>
    </w:p>
    <w:p>
      <w:pPr>
        <w:spacing w:after="40"/>
        <w:ind w:left="620" w:hanging="260"/>
      </w:pPr>
      <w:r>
        <w:rPr>
          <w:rFonts w:ascii="Arial" w:hAnsi="Arial"/>
          <w:sz w:val="22"/>
        </w:rPr>
        <w:t xml:space="preserve">•  </w:t>
      </w:r>
      <w:r>
        <w:rPr>
          <w:rFonts w:ascii="Arial" w:hAnsi="Arial"/>
          <w:sz w:val="22"/>
        </w:rPr>
        <w:t xml:space="preserve">Every routable Razor page carries </w:t>
      </w:r>
      <w:r>
        <w:rPr>
          <w:rFonts w:ascii="Consolas" w:hAnsi="Consolas"/>
          <w:rFonts w:ascii="Consolas" w:hAnsi="Consolas"/>
          <w:sz w:val="20"/>
        </w:rPr>
        <w:t>@attribute [Authorize(...)]</w:t>
      </w:r>
      <w:r>
        <w:rPr>
          <w:rFonts w:ascii="Arial" w:hAnsi="Arial"/>
          <w:sz w:val="22"/>
        </w:rPr>
        <w:t>, except the named allow-list</w:t>
      </w:r>
    </w:p>
    <w:p>
      <w:pPr>
        <w:spacing w:after="80"/>
      </w:pPr>
      <w:r>
        <w:rPr>
          <w:rFonts w:ascii="Arial" w:hAnsi="Arial"/>
          <w:sz w:val="22"/>
        </w:rPr>
        <w:t>(</w:t>
      </w:r>
      <w:r>
        <w:rPr>
          <w:rFonts w:ascii="Consolas" w:hAnsi="Consolas"/>
          <w:rFonts w:ascii="Consolas" w:hAnsi="Consolas"/>
          <w:sz w:val="20"/>
        </w:rPr>
        <w:t>Home.razor</w:t>
      </w:r>
      <w:r>
        <w:rPr>
          <w:rFonts w:ascii="Arial" w:hAnsi="Arial"/>
          <w:sz w:val="22"/>
        </w:rPr>
        <w:t xml:space="preserve"> — gated per-link via </w:t>
      </w:r>
      <w:r>
        <w:rPr>
          <w:rFonts w:ascii="Consolas" w:hAnsi="Consolas"/>
          <w:rFonts w:ascii="Consolas" w:hAnsi="Consolas"/>
          <w:sz w:val="20"/>
        </w:rPr>
        <w:t>&lt;AuthorizeView&gt;</w:t>
      </w:r>
      <w:r>
        <w:rPr>
          <w:rFonts w:ascii="Arial" w:hAnsi="Arial"/>
          <w:sz w:val="22"/>
        </w:rPr>
        <w:t xml:space="preserve">, not page-level; </w:t>
      </w:r>
      <w:r>
        <w:rPr>
          <w:rFonts w:ascii="Consolas" w:hAnsi="Consolas"/>
          <w:rFonts w:ascii="Consolas" w:hAnsi="Consolas"/>
          <w:sz w:val="20"/>
        </w:rPr>
        <w:t>Error.razor</w:t>
      </w:r>
      <w:r>
        <w:rPr>
          <w:rFonts w:ascii="Arial" w:hAnsi="Arial"/>
          <w:sz w:val="22"/>
        </w:rPr>
        <w:t>/</w:t>
      </w:r>
      <w:r>
        <w:rPr>
          <w:rFonts w:ascii="Consolas" w:hAnsi="Consolas"/>
          <w:rFonts w:ascii="Consolas" w:hAnsi="Consolas"/>
          <w:sz w:val="20"/>
        </w:rPr>
        <w:t>NotFound.razor</w:t>
      </w:r>
      <w:r>
        <w:rPr>
          <w:rFonts w:ascii="Arial" w:hAnsi="Arial"/>
          <w:sz w:val="22"/>
        </w:rPr>
        <w:t xml:space="preserve"> — framework pages with nothing sensitive).</w:t>
      </w:r>
    </w:p>
    <w:p>
      <w:pPr>
        <w:spacing w:after="40"/>
        <w:ind w:left="620" w:hanging="260"/>
      </w:pPr>
      <w:r>
        <w:rPr>
          <w:rFonts w:ascii="Arial" w:hAnsi="Arial"/>
          <w:sz w:val="22"/>
        </w:rPr>
        <w:t xml:space="preserve">•  </w:t>
      </w:r>
      <w:r>
        <w:rPr>
          <w:rFonts w:ascii="Arial" w:hAnsi="Arial"/>
          <w:sz w:val="22"/>
        </w:rPr>
        <w:t xml:space="preserve">No </w:t>
      </w:r>
      <w:r>
        <w:rPr>
          <w:rFonts w:ascii="Consolas" w:hAnsi="Consolas"/>
          <w:rFonts w:ascii="Consolas" w:hAnsi="Consolas"/>
          <w:sz w:val="20"/>
        </w:rPr>
        <w:t>.IgnoreQueryFilters()</w:t>
      </w:r>
      <w:r>
        <w:rPr>
          <w:rFonts w:ascii="Arial" w:hAnsi="Arial"/>
          <w:sz w:val="22"/>
        </w:rPr>
        <w:t xml:space="preserve"> call exists anywhere in </w:t>
      </w:r>
      <w:r>
        <w:rPr>
          <w:rFonts w:ascii="Consolas" w:hAnsi="Consolas"/>
          <w:rFonts w:ascii="Consolas" w:hAnsi="Consolas"/>
          <w:sz w:val="20"/>
        </w:rPr>
        <w:t>src/</w:t>
      </w:r>
      <w:r>
        <w:rPr>
          <w:rFonts w:ascii="Arial" w:hAnsi="Arial"/>
          <w:sz w:val="22"/>
        </w:rPr>
        <w:t xml:space="preserve"> (adr/0004 decision #2: bypassing the</w:t>
      </w:r>
    </w:p>
    <w:p>
      <w:pPr>
        <w:spacing w:after="80"/>
      </w:pP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query filters must be a reviewable, greppable act, and currently there are zero such call sites).</w:t>
      </w:r>
    </w:p>
    <w:p>
      <w:pPr>
        <w:spacing w:after="40"/>
        <w:ind w:left="620" w:hanging="260"/>
      </w:pPr>
      <w:r>
        <w:rPr>
          <w:rFonts w:ascii="Arial" w:hAnsi="Arial"/>
          <w:sz w:val="22"/>
        </w:rPr>
        <w:t xml:space="preserve">•  </w:t>
      </w:r>
      <w:r>
        <w:rPr>
          <w:rFonts w:ascii="Consolas" w:hAnsi="Consolas"/>
          <w:rFonts w:ascii="Consolas" w:hAnsi="Consolas"/>
          <w:sz w:val="20"/>
        </w:rPr>
        <w:t>SensitiveDataAccessControlTests.cs</w:t>
      </w:r>
      <w:r>
        <w:rPr>
          <w:rFonts w:ascii="Arial" w:hAnsi="Arial"/>
          <w:sz w:val="22"/>
        </w:rPr>
        <w:t xml:space="preserve">, </w:t>
      </w:r>
      <w:r>
        <w:rPr>
          <w:rFonts w:ascii="Consolas" w:hAnsi="Consolas"/>
          <w:rFonts w:ascii="Consolas" w:hAnsi="Consolas"/>
          <w:sz w:val="20"/>
        </w:rPr>
        <w:t>ConsentRecordServiceTests.cs</w:t>
      </w:r>
      <w:r>
        <w:rPr>
          <w:rFonts w:ascii="Arial" w:hAnsi="Arial"/>
          <w:sz w:val="22"/>
        </w:rPr>
        <w:t xml:space="preserve">, </w:t>
      </w:r>
      <w:r>
        <w:rPr>
          <w:rFonts w:ascii="Consolas" w:hAnsi="Consolas"/>
          <w:rFonts w:ascii="Consolas" w:hAnsi="Consolas"/>
          <w:sz w:val="20"/>
        </w:rPr>
        <w:t>DbsCheckServiceTests.cs</w:t>
      </w:r>
      <w:r>
        <w:rPr>
          <w:rFonts w:ascii="Arial" w:hAnsi="Arial"/>
          <w:sz w:val="22"/>
        </w:rPr>
        <w:t>,</w:t>
      </w:r>
    </w:p>
    <w:p>
      <w:pPr>
        <w:spacing w:after="80"/>
      </w:pPr>
      <w:r>
        <w:rPr>
          <w:rFonts w:ascii="Consolas" w:hAnsi="Consolas"/>
          <w:rFonts w:ascii="Consolas" w:hAnsi="Consolas"/>
          <w:sz w:val="20"/>
        </w:rPr>
        <w:t>GuardianLinkServiceTests.cs</w:t>
      </w:r>
      <w:r>
        <w:rPr>
          <w:rFonts w:ascii="Arial" w:hAnsi="Arial"/>
          <w:sz w:val="22"/>
        </w:rPr>
        <w:t xml:space="preserve"> (test-plan.md TC-007/008/011/012) still exist with at least as many test methods as when this stage was written.</w:t>
      </w:r>
    </w:p>
    <w:p>
      <w:pPr>
        <w:spacing w:after="80"/>
      </w:pPr>
      <w:r>
        <w:rPr>
          <w:rFonts w:ascii="Arial" w:hAnsi="Arial"/>
          <w:sz w:val="22"/>
        </w:rPr>
        <w:t>Those three are re-verified every full run. What follows is the part that genuinely needs a human: whether the design is still sound, not just whether the code matches last time's design.</w:t>
      </w:r>
    </w:p>
    <w:p>
      <w:pPr>
        <w:spacing w:after="80"/>
      </w:pPr>
      <w:r>
        <w:rPr>
          <w:rFonts w:ascii="Arial" w:hAnsi="Arial"/>
          <w:b/>
          <w:sz w:val="22"/>
        </w:rPr>
        <w:t>Identity item update (2026-07-20):</w:t>
      </w:r>
      <w:r>
        <w:rPr>
          <w:rFonts w:ascii="Arial" w:hAnsi="Arial"/>
          <w:sz w:val="22"/>
        </w:rPr>
        <w:t xml:space="preserve"> STATE.md's "Identity" item replaced Microsoft Entra External ID with self-rolled ASP.NET Core Identity (TOTP MFA) and the Microsoft Graph guardian-invitation mechanism with a self-rolled signed/single-use/expiring invite link. The allow-list above now also names every sign-in/account-creation page this introduced (</w:t>
      </w:r>
      <w:r>
        <w:rPr>
          <w:rFonts w:ascii="Consolas" w:hAnsi="Consolas"/>
          <w:rFonts w:ascii="Consolas" w:hAnsi="Consolas"/>
          <w:sz w:val="20"/>
        </w:rPr>
        <w:t>Login.razor</w:t>
      </w:r>
      <w:r>
        <w:rPr>
          <w:rFonts w:ascii="Arial" w:hAnsi="Arial"/>
          <w:sz w:val="22"/>
        </w:rPr>
        <w:t xml:space="preserve">, </w:t>
      </w:r>
      <w:r>
        <w:rPr>
          <w:rFonts w:ascii="Consolas" w:hAnsi="Consolas"/>
          <w:rFonts w:ascii="Consolas" w:hAnsi="Consolas"/>
          <w:sz w:val="20"/>
        </w:rPr>
        <w:t>Register.razor</w:t>
      </w:r>
      <w:r>
        <w:rPr>
          <w:rFonts w:ascii="Arial" w:hAnsi="Arial"/>
          <w:sz w:val="22"/>
        </w:rPr>
        <w:t xml:space="preserve">, </w:t>
      </w:r>
      <w:r>
        <w:rPr>
          <w:rFonts w:ascii="Consolas" w:hAnsi="Consolas"/>
          <w:rFonts w:ascii="Consolas" w:hAnsi="Consolas"/>
          <w:sz w:val="20"/>
        </w:rPr>
        <w:t>LoginWith2fa.razor</w:t>
      </w:r>
      <w:r>
        <w:rPr>
          <w:rFonts w:ascii="Arial" w:hAnsi="Arial"/>
          <w:sz w:val="22"/>
        </w:rPr>
        <w:t xml:space="preserve">, </w:t>
      </w:r>
      <w:r>
        <w:rPr>
          <w:rFonts w:ascii="Consolas" w:hAnsi="Consolas"/>
          <w:rFonts w:ascii="Consolas" w:hAnsi="Consolas"/>
          <w:sz w:val="20"/>
        </w:rPr>
        <w:t>LoginWithRecoveryCode.razor</w:t>
      </w:r>
      <w:r>
        <w:rPr>
          <w:rFonts w:ascii="Arial" w:hAnsi="Arial"/>
          <w:sz w:val="22"/>
        </w:rPr>
        <w:t xml:space="preserve">, </w:t>
      </w:r>
      <w:r>
        <w:rPr>
          <w:rFonts w:ascii="Consolas" w:hAnsi="Consolas"/>
          <w:rFonts w:ascii="Consolas" w:hAnsi="Consolas"/>
          <w:sz w:val="20"/>
        </w:rPr>
        <w:t>AcceptInvite.razor</w:t>
      </w:r>
      <w:r>
        <w:rPr>
          <w:rFonts w:ascii="Arial" w:hAnsi="Arial"/>
          <w:sz w:val="22"/>
        </w:rPr>
        <w:t>) — each is unauthenticated by necessity, and each was checked (not merely allow-listed) to confirm it takes no sensitive data input beyond credentials the caller already holds or a signed/expiring token (</w:t>
      </w:r>
      <w:r>
        <w:rPr>
          <w:rFonts w:ascii="Consolas" w:hAnsi="Consolas"/>
          <w:rFonts w:ascii="Consolas" w:hAnsi="Consolas"/>
          <w:sz w:val="20"/>
        </w:rPr>
        <w:t>GuardianInviteService</w:t>
      </w:r>
      <w:r>
        <w:rPr>
          <w:rFonts w:ascii="Arial" w:hAnsi="Arial"/>
          <w:sz w:val="22"/>
        </w:rPr>
        <w:t xml:space="preserve">). </w:t>
      </w:r>
      <w:r>
        <w:rPr>
          <w:rFonts w:ascii="Consolas" w:hAnsi="Consolas"/>
          <w:rFonts w:ascii="Consolas" w:hAnsi="Consolas"/>
          <w:sz w:val="20"/>
        </w:rPr>
        <w:t>Manage/EnableAuthenticator.razor</w:t>
      </w:r>
      <w:r>
        <w:rPr>
          <w:rFonts w:ascii="Arial" w:hAnsi="Arial"/>
          <w:sz w:val="22"/>
        </w:rPr>
        <w:t>/</w:t>
      </w:r>
      <w:r>
        <w:rPr>
          <w:rFonts w:ascii="Consolas" w:hAnsi="Consolas"/>
          <w:rFonts w:ascii="Consolas" w:hAnsi="Consolas"/>
          <w:sz w:val="20"/>
        </w:rPr>
        <w:t>Manage/TwoFactorAuthentication.razor</w:t>
      </w:r>
      <w:r>
        <w:rPr>
          <w:rFonts w:ascii="Arial" w:hAnsi="Arial"/>
          <w:sz w:val="22"/>
        </w:rPr>
        <w:t xml:space="preserve"> are deliberately NOT on the allow-list — they carry a plain </w:t>
      </w:r>
      <w:r>
        <w:rPr>
          <w:rFonts w:ascii="Consolas" w:hAnsi="Consolas"/>
          <w:rFonts w:ascii="Consolas" w:hAnsi="Consolas"/>
          <w:sz w:val="20"/>
        </w:rPr>
        <w:t>[Authorize]</w:t>
      </w:r>
      <w:r>
        <w:rPr>
          <w:rFonts w:ascii="Arial" w:hAnsi="Arial"/>
          <w:sz w:val="22"/>
        </w:rPr>
        <w:t xml:space="preserve"> (any signed-in user, not a </w:t>
      </w:r>
      <w:r>
        <w:rPr>
          <w:rFonts w:ascii="Consolas" w:hAnsi="Consolas"/>
          <w:rFonts w:ascii="Consolas" w:hAnsi="Consolas"/>
          <w:sz w:val="20"/>
        </w:rPr>
        <w:t>RequireX</w:t>
      </w:r>
      <w:r>
        <w:rPr>
          <w:rFonts w:ascii="Arial" w:hAnsi="Arial"/>
          <w:sz w:val="22"/>
        </w:rPr>
        <w:t xml:space="preserve"> policy — enforcing MFA enrolment itself behind an MFA requirement would be a lockout catch-22, see </w:t>
      </w:r>
      <w:r>
        <w:rPr>
          <w:rFonts w:ascii="Consolas" w:hAnsi="Consolas"/>
          <w:rFonts w:ascii="Consolas" w:hAnsi="Consolas"/>
          <w:sz w:val="20"/>
        </w:rPr>
        <w:t>TwoFactorAuthentication.razor</w:t>
      </w:r>
      <w:r>
        <w:rPr>
          <w:rFonts w:ascii="Arial" w:hAnsi="Arial"/>
          <w:sz w:val="22"/>
        </w:rPr>
        <w:t xml:space="preserve">'s own doc comment), which the automated check already accepts as satisfying "every routable page has </w:t>
      </w:r>
      <w:r>
        <w:rPr>
          <w:rFonts w:ascii="Consolas" w:hAnsi="Consolas"/>
          <w:rFonts w:ascii="Consolas" w:hAnsi="Consolas"/>
          <w:sz w:val="20"/>
        </w:rPr>
        <w:t>[Authorize]</w:t>
      </w:r>
      <w:r>
        <w:rPr>
          <w:rFonts w:ascii="Arial" w:hAnsi="Arial"/>
          <w:sz w:val="22"/>
        </w:rPr>
        <w:t>".</w:t>
      </w:r>
    </w:p>
    <w:p>
      <w:pPr>
        <w:spacing w:after="80"/>
      </w:pPr>
      <w:r>
        <w:rPr>
          <w:rFonts w:ascii="Arial" w:hAnsi="Arial"/>
          <w:b/>
          <w:sz w:val="22"/>
        </w:rPr>
        <w:t>Password reset + Identity hardening update (2026-10-12):</w:t>
      </w:r>
      <w:r>
        <w:rPr>
          <w:rFonts w:ascii="Arial" w:hAnsi="Arial"/>
          <w:sz w:val="22"/>
        </w:rPr>
        <w:t xml:space="preserve"> the allow-list also names </w:t>
      </w:r>
      <w:r>
        <w:rPr>
          <w:rFonts w:ascii="Consolas" w:hAnsi="Consolas"/>
          <w:rFonts w:ascii="Consolas" w:hAnsi="Consolas"/>
          <w:sz w:val="20"/>
        </w:rPr>
        <w:t>ForgotPassword.razor</w:t>
      </w:r>
      <w:r>
        <w:rPr>
          <w:rFonts w:ascii="Arial" w:hAnsi="Arial"/>
          <w:sz w:val="22"/>
        </w:rPr>
        <w:t xml:space="preserve">, </w:t>
      </w:r>
      <w:r>
        <w:rPr>
          <w:rFonts w:ascii="Consolas" w:hAnsi="Consolas"/>
          <w:rFonts w:ascii="Consolas" w:hAnsi="Consolas"/>
          <w:sz w:val="20"/>
        </w:rPr>
        <w:t>ResetPassword.razor</w:t>
      </w:r>
      <w:r>
        <w:rPr>
          <w:rFonts w:ascii="Arial" w:hAnsi="Arial"/>
          <w:sz w:val="22"/>
        </w:rPr>
        <w:t xml:space="preserve">, </w:t>
      </w:r>
      <w:r>
        <w:rPr>
          <w:rFonts w:ascii="Consolas" w:hAnsi="Consolas"/>
          <w:rFonts w:ascii="Consolas" w:hAnsi="Consolas"/>
          <w:sz w:val="20"/>
        </w:rPr>
        <w:t>ConfirmEmail.razor</w:t>
      </w:r>
      <w:r>
        <w:rPr>
          <w:rFonts w:ascii="Arial" w:hAnsi="Arial"/>
          <w:sz w:val="22"/>
        </w:rPr>
        <w:t xml:space="preserve"> and </w:t>
      </w:r>
      <w:r>
        <w:rPr>
          <w:rFonts w:ascii="Consolas" w:hAnsi="Consolas"/>
          <w:rFonts w:ascii="Consolas" w:hAnsi="Consolas"/>
          <w:sz w:val="20"/>
        </w:rPr>
        <w:t>ResendEmailConfirmation.razor</w:t>
      </w:r>
      <w:r>
        <w:rPr>
          <w:rFonts w:ascii="Arial" w:hAnsi="Arial"/>
          <w:sz w:val="22"/>
        </w:rPr>
        <w:t xml:space="preserve"> — reached by someone who can't sign in yet. </w:t>
      </w:r>
      <w:r>
        <w:rPr>
          <w:rFonts w:ascii="Consolas" w:hAnsi="Consolas"/>
          <w:rFonts w:ascii="Consolas" w:hAnsi="Consolas"/>
          <w:sz w:val="20"/>
        </w:rPr>
        <w:t>AccountEmailService.cs</w:t>
      </w:r>
      <w:r>
        <w:rPr>
          <w:rFonts w:ascii="Arial" w:hAnsi="Arial"/>
          <w:sz w:val="22"/>
        </w:rPr>
        <w:t xml:space="preserve"> and </w:t>
      </w:r>
      <w:r>
        <w:rPr>
          <w:rFonts w:ascii="Consolas" w:hAnsi="Consolas"/>
          <w:rFonts w:ascii="Consolas" w:hAnsi="Consolas"/>
          <w:sz w:val="20"/>
        </w:rPr>
        <w:t>VlmsIdentityPolicy.cs</w:t>
      </w:r>
      <w:r>
        <w:rPr>
          <w:rFonts w:ascii="Arial" w:hAnsi="Arial"/>
          <w:sz w:val="22"/>
        </w:rPr>
        <w:t xml:space="preserve"> are now in the hashed set, and </w:t>
      </w:r>
      <w:r>
        <w:rPr>
          <w:rFonts w:ascii="Consolas" w:hAnsi="Consolas"/>
          <w:rFonts w:ascii="Consolas" w:hAnsi="Consolas"/>
          <w:sz w:val="20"/>
        </w:rPr>
        <w:t>AccountEmailServiceTests.cs</w:t>
      </w:r>
      <w:r>
        <w:rPr>
          <w:rFonts w:ascii="Arial" w:hAnsi="Arial"/>
          <w:sz w:val="22"/>
        </w:rPr>
        <w:t xml:space="preserve"> has a floor of 9.</w:t>
      </w:r>
    </w:p>
    <w:p>
      <w:pPr>
        <w:keepNext/>
        <w:spacing w:before="200" w:after="80"/>
        <w:outlineLvl w:val="1"/>
      </w:pPr>
      <w:r>
        <w:rPr>
          <w:rFonts w:ascii="Arial" w:hAnsi="Arial"/>
          <w:b/>
          <w:color w:val="1F2937"/>
          <w:sz w:val="26"/>
        </w:rPr>
        <w:t>V8 Authorization — manual review items</w:t>
      </w:r>
    </w:p>
    <w:p>
      <w:pPr>
        <w:spacing w:after="40"/>
        <w:ind w:left="620" w:hanging="260"/>
      </w:pPr>
      <w:r>
        <w:rPr>
          <w:rFonts w:ascii="Arial" w:hAnsi="Arial"/>
          <w:sz w:val="22"/>
        </w:rPr>
        <w:t xml:space="preserve">•  </w:t>
      </w:r>
      <w:r>
        <w:rPr>
          <w:rFonts w:ascii="Arial" w:hAnsi="Arial"/>
          <w:sz w:val="22"/>
        </w:rPr>
        <w:t xml:space="preserve">[ ] Every </w:t>
      </w:r>
      <w:r>
        <w:rPr>
          <w:rFonts w:ascii="Consolas" w:hAnsi="Consolas"/>
          <w:rFonts w:ascii="Consolas" w:hAnsi="Consolas"/>
          <w:sz w:val="20"/>
        </w:rPr>
        <w:t>Role</w:t>
      </w:r>
      <w:r>
        <w:rPr>
          <w:rFonts w:ascii="Arial" w:hAnsi="Arial"/>
          <w:sz w:val="22"/>
        </w:rPr>
        <w:t xml:space="preserve"> enum value used by a policy in </w:t>
      </w:r>
      <w:r>
        <w:rPr>
          <w:rFonts w:ascii="Consolas" w:hAnsi="Consolas"/>
          <w:rFonts w:ascii="Consolas" w:hAnsi="Consolas"/>
          <w:sz w:val="20"/>
        </w:rPr>
        <w:t>Program.cs</w:t>
      </w:r>
      <w:r>
        <w:rPr>
          <w:rFonts w:ascii="Arial" w:hAnsi="Arial"/>
          <w:sz w:val="22"/>
        </w:rPr>
        <w:t xml:space="preserve">'s </w:t>
      </w:r>
      <w:r>
        <w:rPr>
          <w:rFonts w:ascii="Consolas" w:hAnsi="Consolas"/>
          <w:rFonts w:ascii="Consolas" w:hAnsi="Consolas"/>
          <w:sz w:val="20"/>
        </w:rPr>
        <w:t>AddAuthorization</w:t>
      </w:r>
      <w:r>
        <w:rPr>
          <w:rFonts w:ascii="Arial" w:hAnsi="Arial"/>
          <w:sz w:val="22"/>
        </w:rPr>
        <w:t xml:space="preserve"> block</w:t>
      </w:r>
    </w:p>
    <w:p>
      <w:pPr>
        <w:spacing w:after="80"/>
      </w:pPr>
      <w:r>
        <w:rPr>
          <w:rFonts w:ascii="Arial" w:hAnsi="Arial"/>
          <w:sz w:val="22"/>
        </w:rPr>
        <w:t>(</w:t>
      </w:r>
      <w:r>
        <w:rPr>
          <w:rFonts w:ascii="Consolas" w:hAnsi="Consolas"/>
          <w:rFonts w:ascii="Consolas" w:hAnsi="Consolas"/>
          <w:sz w:val="20"/>
        </w:rPr>
        <w:t>Admin</w:t>
      </w:r>
      <w:r>
        <w:rPr>
          <w:rFonts w:ascii="Arial" w:hAnsi="Arial"/>
          <w:sz w:val="22"/>
        </w:rPr>
        <w:t xml:space="preserve">, </w:t>
      </w:r>
      <w:r>
        <w:rPr>
          <w:rFonts w:ascii="Consolas" w:hAnsi="Consolas"/>
          <w:rFonts w:ascii="Consolas" w:hAnsi="Consolas"/>
          <w:sz w:val="20"/>
        </w:rPr>
        <w:t>Teacher</w:t>
      </w:r>
      <w:r>
        <w:rPr>
          <w:rFonts w:ascii="Arial" w:hAnsi="Arial"/>
          <w:sz w:val="22"/>
        </w:rPr>
        <w:t xml:space="preserve">, </w:t>
      </w:r>
      <w:r>
        <w:rPr>
          <w:rFonts w:ascii="Consolas" w:hAnsi="Consolas"/>
          <w:rFonts w:ascii="Consolas" w:hAnsi="Consolas"/>
          <w:sz w:val="20"/>
        </w:rPr>
        <w:t>Approver</w:t>
      </w:r>
      <w:r>
        <w:rPr>
          <w:rFonts w:ascii="Arial" w:hAnsi="Arial"/>
          <w:sz w:val="22"/>
        </w:rPr>
        <w:t xml:space="preserve">, </w:t>
      </w:r>
      <w:r>
        <w:rPr>
          <w:rFonts w:ascii="Consolas" w:hAnsi="Consolas"/>
          <w:rFonts w:ascii="Consolas" w:hAnsi="Consolas"/>
          <w:sz w:val="20"/>
        </w:rPr>
        <w:t>Parent</w:t>
      </w:r>
      <w:r>
        <w:rPr>
          <w:rFonts w:ascii="Arial" w:hAnsi="Arial"/>
          <w:sz w:val="22"/>
        </w:rPr>
        <w:t xml:space="preserve">, </w:t>
      </w:r>
      <w:r>
        <w:rPr>
          <w:rFonts w:ascii="Consolas" w:hAnsi="Consolas"/>
          <w:rFonts w:ascii="Consolas" w:hAnsi="Consolas"/>
          <w:sz w:val="20"/>
        </w:rPr>
        <w:t>Student</w:t>
      </w:r>
      <w:r>
        <w:rPr>
          <w:rFonts w:ascii="Arial" w:hAnsi="Arial"/>
          <w:sz w:val="22"/>
        </w:rPr>
        <w:t xml:space="preserve">, </w:t>
      </w:r>
      <w:r>
        <w:rPr>
          <w:rFonts w:ascii="Consolas" w:hAnsi="Consolas"/>
          <w:rFonts w:ascii="Consolas" w:hAnsi="Consolas"/>
          <w:sz w:val="20"/>
        </w:rPr>
        <w:t>SafeguardingOfficer</w:t>
      </w:r>
      <w:r>
        <w:rPr>
          <w:rFonts w:ascii="Arial" w:hAnsi="Arial"/>
          <w:sz w:val="22"/>
        </w:rPr>
        <w:t xml:space="preserve"> — one </w:t>
      </w:r>
      <w:r>
        <w:rPr>
          <w:rFonts w:ascii="Consolas" w:hAnsi="Consolas"/>
          <w:rFonts w:ascii="Consolas" w:hAnsi="Consolas"/>
          <w:sz w:val="20"/>
        </w:rPr>
        <w:t>Require{Role}</w:t>
      </w:r>
      <w:r>
        <w:rPr>
          <w:rFonts w:ascii="Arial" w:hAnsi="Arial"/>
          <w:sz w:val="22"/>
        </w:rPr>
        <w:t xml:space="preserve"> policy each, per </w:t>
      </w:r>
      <w:r>
        <w:rPr>
          <w:rFonts w:ascii="Consolas" w:hAnsi="Consolas"/>
          <w:rFonts w:ascii="Consolas" w:hAnsi="Consolas"/>
          <w:sz w:val="20"/>
        </w:rPr>
        <w:t>RoleRequirement</w:t>
      </w:r>
      <w:r>
        <w:rPr>
          <w:rFonts w:ascii="Arial" w:hAnsi="Arial"/>
          <w:sz w:val="22"/>
        </w:rPr>
        <w:t>/</w:t>
      </w:r>
      <w:r>
        <w:rPr>
          <w:rFonts w:ascii="Consolas" w:hAnsi="Consolas"/>
          <w:rFonts w:ascii="Consolas" w:hAnsi="Consolas"/>
          <w:sz w:val="20"/>
        </w:rPr>
        <w:t>RoleAuthorizationHandler</w:t>
      </w:r>
      <w:r>
        <w:rPr>
          <w:rFonts w:ascii="Arial" w:hAnsi="Arial"/>
          <w:sz w:val="22"/>
        </w:rPr>
        <w:t xml:space="preserve">) still matches </w:t>
      </w:r>
      <w:r>
        <w:rPr>
          <w:rFonts w:ascii="Consolas" w:hAnsi="Consolas"/>
          <w:rFonts w:ascii="Consolas" w:hAnsi="Consolas"/>
          <w:sz w:val="20"/>
        </w:rPr>
        <w:t>docs/design/low-level-design.md</w:t>
      </w:r>
      <w:r>
        <w:rPr>
          <w:rFonts w:ascii="Arial" w:hAnsi="Arial"/>
          <w:sz w:val="22"/>
        </w:rPr>
        <w:t xml:space="preserve">'s "Authorization model" section and </w:t>
      </w:r>
      <w:r>
        <w:rPr>
          <w:rFonts w:ascii="Consolas" w:hAnsi="Consolas"/>
          <w:rFonts w:ascii="Consolas" w:hAnsi="Consolas"/>
          <w:sz w:val="20"/>
        </w:rPr>
        <w:t>docs/governance/security-compliance.md</w:t>
      </w:r>
      <w:r>
        <w:rPr>
          <w:rFonts w:ascii="Arial" w:hAnsi="Arial"/>
          <w:sz w:val="22"/>
        </w:rPr>
        <w:t>'s "Access control by role" section. No new role has been added to the codebase without also being added to those docs.</w:t>
      </w:r>
    </w:p>
    <w:p>
      <w:pPr>
        <w:spacing w:after="40"/>
        <w:ind w:left="620" w:hanging="260"/>
      </w:pPr>
      <w:r>
        <w:rPr>
          <w:rFonts w:ascii="Arial" w:hAnsi="Arial"/>
          <w:sz w:val="22"/>
        </w:rPr>
        <w:t xml:space="preserve">•  </w:t>
      </w:r>
      <w:r>
        <w:rPr>
          <w:rFonts w:ascii="Arial" w:hAnsi="Arial"/>
          <w:sz w:val="22"/>
        </w:rPr>
        <w:t xml:space="preserve">[ ] The </w:t>
      </w:r>
      <w:r>
        <w:rPr>
          <w:rFonts w:ascii="Arial" w:hAnsi="Arial"/>
          <w:b/>
          <w:sz w:val="22"/>
        </w:rPr>
        <w:t>Approver</w:t>
      </w:r>
      <w:r>
        <w:rPr>
          <w:rFonts w:ascii="Arial" w:hAnsi="Arial"/>
          <w:sz w:val="22"/>
        </w:rPr>
        <w:t xml:space="preserve"> role still carries no path to </w:t>
      </w:r>
      <w:r>
        <w:rPr>
          <w:rFonts w:ascii="Consolas" w:hAnsi="Consolas"/>
          <w:rFonts w:ascii="Consolas" w:hAnsi="Consolas"/>
          <w:sz w:val="20"/>
        </w:rPr>
        <w:t>ConsentRecord</w:t>
      </w:r>
      <w:r>
        <w:rPr>
          <w:rFonts w:ascii="Arial" w:hAnsi="Arial"/>
          <w:sz w:val="22"/>
        </w:rPr>
        <w:t xml:space="preserve">, </w:t>
      </w:r>
      <w:r>
        <w:rPr>
          <w:rFonts w:ascii="Consolas" w:hAnsi="Consolas"/>
          <w:rFonts w:ascii="Consolas" w:hAnsi="Consolas"/>
          <w:sz w:val="20"/>
        </w:rPr>
        <w:t>ConsentSensitiveDetails</w:t>
      </w:r>
      <w:r>
        <w:rPr>
          <w:rFonts w:ascii="Arial" w:hAnsi="Arial"/>
          <w:sz w:val="22"/>
        </w:rPr>
        <w:t>, or</w:t>
      </w:r>
    </w:p>
    <w:p>
      <w:pPr>
        <w:spacing w:after="80"/>
      </w:pPr>
      <w:r>
        <w:rPr>
          <w:rFonts w:ascii="Consolas" w:hAnsi="Consolas"/>
          <w:rFonts w:ascii="Consolas" w:hAnsi="Consolas"/>
          <w:sz w:val="20"/>
        </w:rPr>
        <w:t>DbsCheck</w:t>
      </w:r>
      <w:r>
        <w:rPr>
          <w:rFonts w:ascii="Arial" w:hAnsi="Arial"/>
          <w:sz w:val="22"/>
        </w:rPr>
        <w:t xml:space="preserve"> — confirmed by reading </w:t>
      </w:r>
      <w:r>
        <w:rPr>
          <w:rFonts w:ascii="Consolas" w:hAnsi="Consolas"/>
          <w:rFonts w:ascii="Consolas" w:hAnsi="Consolas"/>
          <w:sz w:val="20"/>
        </w:rPr>
        <w:t>Program.cs</w:t>
      </w:r>
      <w:r>
        <w:rPr>
          <w:rFonts w:ascii="Arial" w:hAnsi="Arial"/>
          <w:sz w:val="22"/>
        </w:rPr>
        <w:t>'s policy list (</w:t>
      </w:r>
      <w:r>
        <w:rPr>
          <w:rFonts w:ascii="Consolas" w:hAnsi="Consolas"/>
          <w:rFonts w:ascii="Consolas" w:hAnsi="Consolas"/>
          <w:sz w:val="20"/>
        </w:rPr>
        <w:t>RequireApprover</w:t>
      </w:r>
      <w:r>
        <w:rPr>
          <w:rFonts w:ascii="Arial" w:hAnsi="Arial"/>
          <w:sz w:val="22"/>
        </w:rPr>
        <w:t xml:space="preserve"> is used only by </w:t>
      </w:r>
      <w:r>
        <w:rPr>
          <w:rFonts w:ascii="Consolas" w:hAnsi="Consolas"/>
          <w:rFonts w:ascii="Consolas" w:hAnsi="Consolas"/>
          <w:sz w:val="20"/>
        </w:rPr>
        <w:t>Curriculum/ApproverProposals.razor</w:t>
      </w:r>
      <w:r>
        <w:rPr>
          <w:rFonts w:ascii="Arial" w:hAnsi="Arial"/>
          <w:sz w:val="22"/>
        </w:rPr>
        <w:t xml:space="preserve">) and by </w:t>
      </w:r>
      <w:r>
        <w:rPr>
          <w:rFonts w:ascii="Consolas" w:hAnsi="Consolas"/>
          <w:rFonts w:ascii="Consolas" w:hAnsi="Consolas"/>
          <w:sz w:val="20"/>
        </w:rPr>
        <w:t>ConsentRecordService</w:t>
      </w:r>
      <w:r>
        <w:rPr>
          <w:rFonts w:ascii="Arial" w:hAnsi="Arial"/>
          <w:sz w:val="22"/>
        </w:rPr>
        <w:t>/</w:t>
      </w:r>
      <w:r>
        <w:rPr>
          <w:rFonts w:ascii="Consolas" w:hAnsi="Consolas"/>
          <w:rFonts w:ascii="Consolas" w:hAnsi="Consolas"/>
          <w:sz w:val="20"/>
        </w:rPr>
        <w:t>DbsCheckService</w:t>
      </w:r>
      <w:r>
        <w:rPr>
          <w:rFonts w:ascii="Arial" w:hAnsi="Arial"/>
          <w:sz w:val="22"/>
        </w:rPr>
        <w:t>'s own in-service role checks (</w:t>
      </w:r>
      <w:r>
        <w:rPr>
          <w:rFonts w:ascii="Consolas" w:hAnsi="Consolas"/>
          <w:rFonts w:ascii="Consolas" w:hAnsi="Consolas"/>
          <w:sz w:val="20"/>
        </w:rPr>
        <w:t>Role.Admin</w:t>
      </w:r>
      <w:r>
        <w:rPr>
          <w:rFonts w:ascii="Arial" w:hAnsi="Arial"/>
          <w:sz w:val="22"/>
        </w:rPr>
        <w:t>/</w:t>
      </w:r>
      <w:r>
        <w:rPr>
          <w:rFonts w:ascii="Consolas" w:hAnsi="Consolas"/>
          <w:rFonts w:ascii="Consolas" w:hAnsi="Consolas"/>
          <w:sz w:val="20"/>
        </w:rPr>
        <w:t>Role.SafeguardingOfficer</w:t>
      </w:r>
      <w:r>
        <w:rPr>
          <w:rFonts w:ascii="Arial" w:hAnsi="Arial"/>
          <w:sz w:val="22"/>
        </w:rPr>
        <w:t xml:space="preserve"> only — never </w:t>
      </w:r>
      <w:r>
        <w:rPr>
          <w:rFonts w:ascii="Consolas" w:hAnsi="Consolas"/>
          <w:rFonts w:ascii="Consolas" w:hAnsi="Consolas"/>
          <w:sz w:val="20"/>
        </w:rPr>
        <w:t>Role.Approver</w:t>
      </w:r>
      <w:r>
        <w:rPr>
          <w:rFonts w:ascii="Arial" w:hAnsi="Arial"/>
          <w:sz w:val="22"/>
        </w:rPr>
        <w:t>). This is the CLAUDE.md hard constraint ("the Approver role is curriculum-only, never conflated with safeguarding/consent sign-off") — re-check it by name at every review, not by assumption.</w:t>
      </w:r>
    </w:p>
    <w:p>
      <w:pPr>
        <w:spacing w:after="40"/>
        <w:ind w:left="620" w:hanging="260"/>
      </w:pPr>
      <w:r>
        <w:rPr>
          <w:rFonts w:ascii="Arial" w:hAnsi="Arial"/>
          <w:sz w:val="22"/>
        </w:rPr>
        <w:t xml:space="preserve">•  </w:t>
      </w:r>
      <w:r>
        <w:rPr>
          <w:rFonts w:ascii="Arial" w:hAnsi="Arial"/>
          <w:sz w:val="22"/>
        </w:rPr>
        <w:t xml:space="preserve">[ ] Resource-based checks are still correctly scoped: </w:t>
      </w:r>
      <w:r>
        <w:rPr>
          <w:rFonts w:ascii="Consolas" w:hAnsi="Consolas"/>
          <w:rFonts w:ascii="Consolas" w:hAnsi="Consolas"/>
          <w:sz w:val="20"/>
        </w:rPr>
        <w:t>ParentStudentAccessHandler</w:t>
      </w:r>
      <w:r>
        <w:rPr>
          <w:rFonts w:ascii="Arial" w:hAnsi="Arial"/>
          <w:sz w:val="22"/>
        </w:rPr>
        <w:t xml:space="preserve"> (via the shared</w:t>
      </w:r>
    </w:p>
    <w:p>
      <w:pPr>
        <w:spacing w:after="80"/>
      </w:pPr>
      <w:r>
        <w:rPr>
          <w:rFonts w:ascii="Consolas" w:hAnsi="Consolas"/>
          <w:rFonts w:ascii="Consolas" w:hAnsi="Consolas"/>
          <w:sz w:val="20"/>
        </w:rPr>
        <w:t>ParentGuardianLinkage</w:t>
      </w:r>
      <w:r>
        <w:rPr>
          <w:rFonts w:ascii="Arial" w:hAnsi="Arial"/>
          <w:sz w:val="22"/>
        </w:rPr>
        <w:t xml:space="preserve"> helper) only grants a Parent access to </w:t>
      </w:r>
      <w:r>
        <w:rPr>
          <w:rFonts w:ascii="Consolas" w:hAnsi="Consolas"/>
          <w:rFonts w:ascii="Consolas" w:hAnsi="Consolas"/>
          <w:sz w:val="20"/>
        </w:rPr>
        <w:t>Student</w:t>
      </w:r>
      <w:r>
        <w:rPr>
          <w:rFonts w:ascii="Arial" w:hAnsi="Arial"/>
          <w:sz w:val="22"/>
        </w:rPr>
        <w:t xml:space="preserve">s reachable through their own </w:t>
      </w:r>
      <w:r>
        <w:rPr>
          <w:rFonts w:ascii="Consolas" w:hAnsi="Consolas"/>
          <w:rFonts w:ascii="Consolas" w:hAnsi="Consolas"/>
          <w:sz w:val="20"/>
        </w:rPr>
        <w:t>StudentGuardianLink</w:t>
      </w:r>
      <w:r>
        <w:rPr>
          <w:rFonts w:ascii="Arial" w:hAnsi="Arial"/>
          <w:sz w:val="22"/>
        </w:rPr>
        <w:t xml:space="preserve"> rows; </w:t>
      </w:r>
      <w:r>
        <w:rPr>
          <w:rFonts w:ascii="Consolas" w:hAnsi="Consolas"/>
          <w:rFonts w:ascii="Consolas" w:hAnsi="Consolas"/>
          <w:sz w:val="20"/>
        </w:rPr>
        <w:t>StudentSelfAccessHandler</w:t>
      </w:r>
      <w:r>
        <w:rPr>
          <w:rFonts w:ascii="Arial" w:hAnsi="Arial"/>
          <w:sz w:val="22"/>
        </w:rPr>
        <w:t xml:space="preserve"> only grants a Student their own record; </w:t>
      </w:r>
      <w:r>
        <w:rPr>
          <w:rFonts w:ascii="Consolas" w:hAnsi="Consolas"/>
          <w:rFonts w:ascii="Consolas" w:hAnsi="Consolas"/>
          <w:sz w:val="20"/>
        </w:rPr>
        <w:t>TeacherStudentAccessHandler</w:t>
      </w:r>
      <w:r>
        <w:rPr>
          <w:rFonts w:ascii="Arial" w:hAnsi="Arial"/>
          <w:sz w:val="22"/>
        </w:rPr>
        <w:t xml:space="preserve"> intentionally grants </w:t>
      </w:r>
      <w:r>
        <w:rPr>
          <w:rFonts w:ascii="Arial" w:hAnsi="Arial"/>
          <w:b/>
          <w:sz w:val="22"/>
        </w:rPr>
        <w:t>all</w:t>
      </w:r>
      <w:r>
        <w:rPr>
          <w:rFonts w:ascii="Arial" w:hAnsi="Arial"/>
          <w:sz w:val="22"/>
        </w:rPr>
        <w:t xml:space="preserve"> students to every Teacher (confirmed design decision, low-level-design.md — teachers cover for each other, no </w:t>
      </w:r>
      <w:r>
        <w:rPr>
          <w:rFonts w:ascii="Consolas" w:hAnsi="Consolas"/>
          <w:rFonts w:ascii="Consolas" w:hAnsi="Consolas"/>
          <w:sz w:val="20"/>
        </w:rPr>
        <w:t>AssignedTeacherUserId</w:t>
      </w:r>
      <w:r>
        <w:rPr>
          <w:rFonts w:ascii="Arial" w:hAnsi="Arial"/>
          <w:sz w:val="22"/>
        </w:rPr>
        <w:t xml:space="preserve"> scoping). Confirm no new resource type has been added that needs an equivalent handler but doesn't have one.</w:t>
      </w:r>
    </w:p>
    <w:p>
      <w:pPr>
        <w:spacing w:after="40"/>
        <w:ind w:left="620" w:hanging="260"/>
      </w:pPr>
      <w:r>
        <w:rPr>
          <w:rFonts w:ascii="Arial" w:hAnsi="Arial"/>
          <w:sz w:val="22"/>
        </w:rPr>
        <w:t xml:space="preserve">•  </w:t>
      </w:r>
      <w:r>
        <w:rPr>
          <w:rFonts w:ascii="Arial" w:hAnsi="Arial"/>
          <w:sz w:val="22"/>
        </w:rPr>
        <w:t xml:space="preserve">[ ] </w:t>
      </w:r>
      <w:r>
        <w:rPr>
          <w:rFonts w:ascii="Consolas" w:hAnsi="Consolas"/>
          <w:rFonts w:ascii="Consolas" w:hAnsi="Consolas"/>
          <w:sz w:val="20"/>
        </w:rPr>
        <w:t>StudentGuardianLink</w:t>
      </w:r>
      <w:r>
        <w:rPr>
          <w:rFonts w:ascii="Arial" w:hAnsi="Arial"/>
          <w:sz w:val="22"/>
        </w:rPr>
        <w:t xml:space="preserve"> rows are still only ever created by </w:t>
      </w:r>
      <w:r>
        <w:rPr>
          <w:rFonts w:ascii="Consolas" w:hAnsi="Consolas"/>
          <w:rFonts w:ascii="Consolas" w:hAnsi="Consolas"/>
          <w:sz w:val="20"/>
        </w:rPr>
        <w:t>GuardianLinkService</w:t>
      </w:r>
      <w:r>
        <w:rPr>
          <w:rFonts w:ascii="Arial" w:hAnsi="Arial"/>
          <w:sz w:val="22"/>
        </w:rPr>
        <w:t>/</w:t>
      </w:r>
    </w:p>
    <w:p>
      <w:pPr>
        <w:spacing w:after="80"/>
      </w:pPr>
      <w:r>
        <w:rPr>
          <w:rFonts w:ascii="Consolas" w:hAnsi="Consolas"/>
          <w:rFonts w:ascii="Consolas" w:hAnsi="Consolas"/>
          <w:sz w:val="20"/>
        </w:rPr>
        <w:t>StudentRegistrationService</w:t>
      </w:r>
      <w:r>
        <w:rPr>
          <w:rFonts w:ascii="Arial" w:hAnsi="Arial"/>
          <w:sz w:val="22"/>
        </w:rPr>
        <w:t xml:space="preserve">, both role-checked to Admin/Teacher inside the service itself (defense in depth, not just page-level </w:t>
      </w:r>
      <w:r>
        <w:rPr>
          <w:rFonts w:ascii="Consolas" w:hAnsi="Consolas"/>
          <w:rFonts w:ascii="Consolas" w:hAnsi="Consolas"/>
          <w:sz w:val="20"/>
        </w:rPr>
        <w:t>[Authorize]</w:t>
      </w:r>
      <w:r>
        <w:rPr>
          <w:rFonts w:ascii="Arial" w:hAnsi="Arial"/>
          <w:sz w:val="22"/>
        </w:rPr>
        <w:t xml:space="preserve">) — grep for any other code path that calls </w:t>
      </w:r>
      <w:r>
        <w:rPr>
          <w:rFonts w:ascii="Consolas" w:hAnsi="Consolas"/>
          <w:rFonts w:ascii="Consolas" w:hAnsi="Consolas"/>
          <w:sz w:val="20"/>
        </w:rPr>
        <w:t>.Add(...)</w:t>
      </w:r>
      <w:r>
        <w:rPr>
          <w:rFonts w:ascii="Arial" w:hAnsi="Arial"/>
          <w:sz w:val="22"/>
        </w:rPr>
        <w:t xml:space="preserve"> on </w:t>
      </w:r>
      <w:r>
        <w:rPr>
          <w:rFonts w:ascii="Consolas" w:hAnsi="Consolas"/>
          <w:rFonts w:ascii="Consolas" w:hAnsi="Consolas"/>
          <w:sz w:val="20"/>
        </w:rPr>
        <w:t>StudentGuardianLink</w:t>
      </w:r>
      <w:r>
        <w:rPr>
          <w:rFonts w:ascii="Arial" w:hAnsi="Arial"/>
          <w:sz w:val="22"/>
        </w:rPr>
        <w:t>s and confirm there isn't one.</w:t>
      </w:r>
    </w:p>
    <w:p>
      <w:pPr>
        <w:spacing w:after="40"/>
        <w:ind w:left="620" w:hanging="260"/>
      </w:pPr>
      <w:r>
        <w:rPr>
          <w:rFonts w:ascii="Arial" w:hAnsi="Arial"/>
          <w:sz w:val="22"/>
        </w:rPr>
        <w:t xml:space="preserve">•  </w:t>
      </w:r>
      <w:r>
        <w:rPr>
          <w:rFonts w:ascii="Arial" w:hAnsi="Arial"/>
          <w:sz w:val="22"/>
        </w:rPr>
        <w:t xml:space="preserve">[ ] Every new service added since the last review that touches </w:t>
      </w:r>
      <w:r>
        <w:rPr>
          <w:rFonts w:ascii="Consolas" w:hAnsi="Consolas"/>
          <w:rFonts w:ascii="Consolas" w:hAnsi="Consolas"/>
          <w:sz w:val="20"/>
        </w:rPr>
        <w:t>DbsCheck</w:t>
      </w:r>
      <w:r>
        <w:rPr>
          <w:rFonts w:ascii="Arial" w:hAnsi="Arial"/>
          <w:sz w:val="22"/>
        </w:rPr>
        <w:t>,</w:t>
      </w:r>
    </w:p>
    <w:p>
      <w:pPr>
        <w:spacing w:after="80"/>
      </w:pPr>
      <w:r>
        <w:rPr>
          <w:rFonts w:ascii="Consolas" w:hAnsi="Consolas"/>
          <w:rFonts w:ascii="Consolas" w:hAnsi="Consolas"/>
          <w:sz w:val="20"/>
        </w:rPr>
        <w:t>ConsentSensitiveDetails</w:t>
      </w:r>
      <w:r>
        <w:rPr>
          <w:rFonts w:ascii="Arial" w:hAnsi="Arial"/>
          <w:sz w:val="22"/>
        </w:rPr>
        <w:t xml:space="preserve">, </w:t>
      </w:r>
      <w:r>
        <w:rPr>
          <w:rFonts w:ascii="Consolas" w:hAnsi="Consolas"/>
          <w:rFonts w:ascii="Consolas" w:hAnsi="Consolas"/>
          <w:sz w:val="20"/>
        </w:rPr>
        <w:t>ConsentRecord</w:t>
      </w:r>
      <w:r>
        <w:rPr>
          <w:rFonts w:ascii="Arial" w:hAnsi="Arial"/>
          <w:sz w:val="22"/>
        </w:rPr>
        <w:t xml:space="preserve">, or </w:t>
      </w:r>
      <w:r>
        <w:rPr>
          <w:rFonts w:ascii="Consolas" w:hAnsi="Consolas"/>
          <w:rFonts w:ascii="Consolas" w:hAnsi="Consolas"/>
          <w:sz w:val="20"/>
        </w:rPr>
        <w:t>StudentGuardianLink</w:t>
      </w:r>
      <w:r>
        <w:rPr>
          <w:rFonts w:ascii="Arial" w:hAnsi="Arial"/>
          <w:sz w:val="22"/>
        </w:rPr>
        <w:t xml:space="preserve"> performs its own in-service role check (the established defense-in-depth pattern — see </w:t>
      </w:r>
      <w:r>
        <w:rPr>
          <w:rFonts w:ascii="Consolas" w:hAnsi="Consolas"/>
          <w:rFonts w:ascii="Consolas" w:hAnsi="Consolas"/>
          <w:sz w:val="20"/>
        </w:rPr>
        <w:t>LessonProposalService</w:t>
      </w:r>
      <w:r>
        <w:rPr>
          <w:rFonts w:ascii="Arial" w:hAnsi="Arial"/>
          <w:sz w:val="22"/>
        </w:rPr>
        <w:t>/</w:t>
      </w:r>
      <w:r>
        <w:rPr>
          <w:rFonts w:ascii="Consolas" w:hAnsi="Consolas"/>
          <w:rFonts w:ascii="Consolas" w:hAnsi="Consolas"/>
          <w:sz w:val="20"/>
        </w:rPr>
        <w:t>GuardianLinkService</w:t>
      </w:r>
      <w:r>
        <w:rPr>
          <w:rFonts w:ascii="Arial" w:hAnsi="Arial"/>
          <w:sz w:val="22"/>
        </w:rPr>
        <w:t>/</w:t>
      </w:r>
      <w:r>
        <w:rPr>
          <w:rFonts w:ascii="Consolas" w:hAnsi="Consolas"/>
          <w:rFonts w:ascii="Consolas" w:hAnsi="Consolas"/>
          <w:sz w:val="20"/>
        </w:rPr>
        <w:t>ConsentRecordService</w:t>
      </w:r>
      <w:r>
        <w:rPr>
          <w:rFonts w:ascii="Arial" w:hAnsi="Arial"/>
          <w:sz w:val="22"/>
        </w:rPr>
        <w:t>/</w:t>
      </w:r>
      <w:r>
        <w:rPr>
          <w:rFonts w:ascii="Consolas" w:hAnsi="Consolas"/>
          <w:rFonts w:ascii="Consolas" w:hAnsi="Consolas"/>
          <w:sz w:val="20"/>
        </w:rPr>
        <w:t>DbsCheckService</w:t>
      </w:r>
      <w:r>
        <w:rPr>
          <w:rFonts w:ascii="Arial" w:hAnsi="Arial"/>
          <w:sz w:val="22"/>
        </w:rPr>
        <w:t xml:space="preserve">), not solely a page-level </w:t>
      </w:r>
      <w:r>
        <w:rPr>
          <w:rFonts w:ascii="Consolas" w:hAnsi="Consolas"/>
          <w:rFonts w:ascii="Consolas" w:hAnsi="Consolas"/>
          <w:sz w:val="20"/>
        </w:rPr>
        <w:t>[Authorize]</w:t>
      </w:r>
      <w:r>
        <w:rPr>
          <w:rFonts w:ascii="Arial" w:hAnsi="Arial"/>
          <w:sz w:val="22"/>
        </w:rPr>
        <w:t xml:space="preserve"> policy that a future non-page caller (a job, an API) could bypass. Checked for this review's two new services: </w:t>
      </w:r>
      <w:r>
        <w:rPr>
          <w:rFonts w:ascii="Consolas" w:hAnsi="Consolas"/>
          <w:rFonts w:ascii="Consolas" w:hAnsi="Consolas"/>
          <w:sz w:val="20"/>
        </w:rPr>
        <w:t>GuardianInviteService.IssueAsync</w:t>
      </w:r>
      <w:r>
        <w:rPr>
          <w:rFonts w:ascii="Arial" w:hAnsi="Arial"/>
          <w:sz w:val="22"/>
        </w:rPr>
        <w:t xml:space="preserve"> checks Admin-or-Teacher itself (</w:t>
      </w:r>
      <w:r>
        <w:rPr>
          <w:rFonts w:ascii="Consolas" w:hAnsi="Consolas"/>
          <w:rFonts w:ascii="Consolas" w:hAnsi="Consolas"/>
          <w:sz w:val="20"/>
        </w:rPr>
        <w:t>RequireAdminOrTeacher</w:t>
      </w:r>
      <w:r>
        <w:rPr>
          <w:rFonts w:ascii="Arial" w:hAnsi="Arial"/>
          <w:sz w:val="22"/>
        </w:rPr>
        <w:t xml:space="preserve">, mirroring </w:t>
      </w:r>
      <w:r>
        <w:rPr>
          <w:rFonts w:ascii="Consolas" w:hAnsi="Consolas"/>
          <w:rFonts w:ascii="Consolas" w:hAnsi="Consolas"/>
          <w:sz w:val="20"/>
        </w:rPr>
        <w:t>GuardianLinkService</w:t>
      </w:r>
      <w:r>
        <w:rPr>
          <w:rFonts w:ascii="Arial" w:hAnsi="Arial"/>
          <w:sz w:val="22"/>
        </w:rPr>
        <w:t xml:space="preserve">, its only caller); </w:t>
      </w:r>
      <w:r>
        <w:rPr>
          <w:rFonts w:ascii="Consolas" w:hAnsi="Consolas"/>
          <w:rFonts w:ascii="Consolas" w:hAnsi="Consolas"/>
          <w:sz w:val="20"/>
        </w:rPr>
        <w:t>AppUserProvisioningService.CreateAsync</w:t>
      </w:r>
      <w:r>
        <w:rPr>
          <w:rFonts w:ascii="Arial" w:hAnsi="Arial"/>
          <w:sz w:val="22"/>
        </w:rPr>
        <w:t xml:space="preserve"> deliberately has </w:t>
      </w:r>
      <w:r>
        <w:rPr>
          <w:rFonts w:ascii="Arial" w:hAnsi="Arial"/>
          <w:b/>
          <w:sz w:val="22"/>
        </w:rPr>
        <w:t>no</w:t>
      </w:r>
      <w:r>
        <w:rPr>
          <w:rFonts w:ascii="Arial" w:hAnsi="Arial"/>
          <w:sz w:val="22"/>
        </w:rPr>
        <w:t xml:space="preserve"> role check — it never touches any of the four listed entities, and is reachable by design from an unauthenticated caller (</w:t>
      </w:r>
      <w:r>
        <w:rPr>
          <w:rFonts w:ascii="Consolas" w:hAnsi="Consolas"/>
          <w:rFonts w:ascii="Consolas" w:hAnsi="Consolas"/>
          <w:sz w:val="20"/>
        </w:rPr>
        <w:t>Register.razor</w:t>
      </w:r>
      <w:r>
        <w:rPr>
          <w:rFonts w:ascii="Arial" w:hAnsi="Arial"/>
          <w:sz w:val="22"/>
        </w:rPr>
        <w:t xml:space="preserve">, the guardian invite-accept flow) — a new </w:t>
      </w:r>
      <w:r>
        <w:rPr>
          <w:rFonts w:ascii="Consolas" w:hAnsi="Consolas"/>
          <w:rFonts w:ascii="Consolas" w:hAnsi="Consolas"/>
          <w:sz w:val="20"/>
        </w:rPr>
        <w:t>AppUser</w:t>
      </w:r>
      <w:r>
        <w:rPr>
          <w:rFonts w:ascii="Arial" w:hAnsi="Arial"/>
          <w:sz w:val="22"/>
        </w:rPr>
        <w:t xml:space="preserve"> always gets zero </w:t>
      </w:r>
      <w:r>
        <w:rPr>
          <w:rFonts w:ascii="Consolas" w:hAnsi="Consolas"/>
          <w:rFonts w:ascii="Consolas" w:hAnsi="Consolas"/>
          <w:sz w:val="20"/>
        </w:rPr>
        <w:t>UserRole</w:t>
      </w:r>
      <w:r>
        <w:rPr>
          <w:rFonts w:ascii="Arial" w:hAnsi="Arial"/>
          <w:sz w:val="22"/>
        </w:rPr>
        <w:t xml:space="preserve"> rows (deny-by-default), so this is not a gap.</w:t>
      </w:r>
    </w:p>
    <w:p>
      <w:pPr>
        <w:spacing w:after="40"/>
        <w:ind w:left="620" w:hanging="260"/>
      </w:pPr>
      <w:r>
        <w:rPr>
          <w:rFonts w:ascii="Arial" w:hAnsi="Arial"/>
          <w:sz w:val="22"/>
        </w:rPr>
        <w:t xml:space="preserve">•  </w:t>
      </w:r>
      <w:r>
        <w:rPr>
          <w:rFonts w:ascii="Arial" w:hAnsi="Arial"/>
          <w:sz w:val="22"/>
        </w:rPr>
        <w:t xml:space="preserve">[ ] </w:t>
      </w:r>
      <w:r>
        <w:rPr>
          <w:rFonts w:ascii="Arial" w:hAnsi="Arial"/>
          <w:b/>
          <w:sz w:val="22"/>
        </w:rPr>
        <w:t>MFA enforcement (STATE.md "Identity" item 4) is wired at both layers, not just one:</w:t>
      </w:r>
      <w:r>
        <w:rPr>
          <w:rFonts w:ascii="Arial" w:hAnsi="Arial"/>
          <w:sz w:val="22"/>
        </w:rPr>
        <w:t xml:space="preserve"> every</w:t>
      </w:r>
    </w:p>
    <w:p>
      <w:pPr>
        <w:spacing w:after="80"/>
      </w:pPr>
      <w:r>
        <w:rPr>
          <w:rFonts w:ascii="Arial" w:hAnsi="Arial"/>
          <w:sz w:val="22"/>
        </w:rPr>
        <w:t xml:space="preserve">policy in </w:t>
      </w:r>
      <w:r>
        <w:rPr>
          <w:rFonts w:ascii="Consolas" w:hAnsi="Consolas"/>
          <w:rFonts w:ascii="Consolas" w:hAnsi="Consolas"/>
          <w:sz w:val="20"/>
        </w:rPr>
        <w:t>Program.cs</w:t>
      </w:r>
      <w:r>
        <w:rPr>
          <w:rFonts w:ascii="Arial" w:hAnsi="Arial"/>
          <w:sz w:val="22"/>
        </w:rPr>
        <w:t xml:space="preserve">'s </w:t>
      </w:r>
      <w:r>
        <w:rPr>
          <w:rFonts w:ascii="Consolas" w:hAnsi="Consolas"/>
          <w:rFonts w:ascii="Consolas" w:hAnsi="Consolas"/>
          <w:sz w:val="20"/>
        </w:rPr>
        <w:t>AddAuthorization</w:t>
      </w:r>
      <w:r>
        <w:rPr>
          <w:rFonts w:ascii="Arial" w:hAnsi="Arial"/>
          <w:sz w:val="22"/>
        </w:rPr>
        <w:t xml:space="preserve"> block (</w:t>
      </w:r>
      <w:r>
        <w:rPr>
          <w:rFonts w:ascii="Consolas" w:hAnsi="Consolas"/>
          <w:rFonts w:ascii="Consolas" w:hAnsi="Consolas"/>
          <w:sz w:val="20"/>
        </w:rPr>
        <w:t>Require{Role}</w:t>
      </w:r>
      <w:r>
        <w:rPr>
          <w:rFonts w:ascii="Arial" w:hAnsi="Arial"/>
          <w:sz w:val="22"/>
        </w:rPr>
        <w:t xml:space="preserve"> × 6, </w:t>
      </w:r>
      <w:r>
        <w:rPr>
          <w:rFonts w:ascii="Consolas" w:hAnsi="Consolas"/>
          <w:rFonts w:ascii="Consolas" w:hAnsi="Consolas"/>
          <w:sz w:val="20"/>
        </w:rPr>
        <w:t>StudentAccess</w:t>
      </w:r>
      <w:r>
        <w:rPr>
          <w:rFonts w:ascii="Arial" w:hAnsi="Arial"/>
          <w:sz w:val="22"/>
        </w:rPr>
        <w:t xml:space="preserve">, </w:t>
      </w:r>
      <w:r>
        <w:rPr>
          <w:rFonts w:ascii="Consolas" w:hAnsi="Consolas"/>
          <w:rFonts w:ascii="Consolas" w:hAnsi="Consolas"/>
          <w:sz w:val="20"/>
        </w:rPr>
        <w:t>RequireAdminOrTeacher</w:t>
      </w:r>
      <w:r>
        <w:rPr>
          <w:rFonts w:ascii="Arial" w:hAnsi="Arial"/>
          <w:sz w:val="22"/>
        </w:rPr>
        <w:t xml:space="preserve">, </w:t>
      </w:r>
      <w:r>
        <w:rPr>
          <w:rFonts w:ascii="Consolas" w:hAnsi="Consolas"/>
          <w:rFonts w:ascii="Consolas" w:hAnsi="Consolas"/>
          <w:sz w:val="20"/>
        </w:rPr>
        <w:t>RequireAdminOrSafeguardingOfficer</w:t>
      </w:r>
      <w:r>
        <w:rPr>
          <w:rFonts w:ascii="Arial" w:hAnsi="Arial"/>
          <w:sz w:val="22"/>
        </w:rPr>
        <w:t xml:space="preserve">) also carries an </w:t>
      </w:r>
      <w:r>
        <w:rPr>
          <w:rFonts w:ascii="Consolas" w:hAnsi="Consolas"/>
          <w:rFonts w:ascii="Consolas" w:hAnsi="Consolas"/>
          <w:sz w:val="20"/>
        </w:rPr>
        <w:t>MfaRequirement</w:t>
      </w:r>
      <w:r>
        <w:rPr>
          <w:rFonts w:ascii="Arial" w:hAnsi="Arial"/>
          <w:sz w:val="22"/>
        </w:rPr>
        <w:t xml:space="preserve">, handled by </w:t>
      </w:r>
      <w:r>
        <w:rPr>
          <w:rFonts w:ascii="Consolas" w:hAnsi="Consolas"/>
          <w:rFonts w:ascii="Consolas" w:hAnsi="Consolas"/>
          <w:sz w:val="20"/>
        </w:rPr>
        <w:t>MfaRequirementHandler</w:t>
      </w:r>
      <w:r>
        <w:rPr>
          <w:rFonts w:ascii="Arial" w:hAnsi="Arial"/>
          <w:sz w:val="22"/>
        </w:rPr>
        <w:t xml:space="preserve"> — which succeeds unless the caller holds </w:t>
      </w:r>
      <w:r>
        <w:rPr>
          <w:rFonts w:ascii="Consolas" w:hAnsi="Consolas"/>
          <w:rFonts w:ascii="Consolas" w:hAnsi="Consolas"/>
          <w:sz w:val="20"/>
        </w:rPr>
        <w:t>Role.Admin</w:t>
      </w:r>
      <w:r>
        <w:rPr>
          <w:rFonts w:ascii="Arial" w:hAnsi="Arial"/>
          <w:sz w:val="22"/>
        </w:rPr>
        <w:t xml:space="preserve">/ </w:t>
      </w:r>
      <w:r>
        <w:rPr>
          <w:rFonts w:ascii="Consolas" w:hAnsi="Consolas"/>
          <w:rFonts w:ascii="Consolas" w:hAnsi="Consolas"/>
          <w:sz w:val="20"/>
        </w:rPr>
        <w:t>Role.SafeguardingOfficer</w:t>
      </w:r>
      <w:r>
        <w:rPr>
          <w:rFonts w:ascii="Arial" w:hAnsi="Arial"/>
          <w:sz w:val="22"/>
        </w:rPr>
        <w:t xml:space="preserve"> without </w:t>
      </w:r>
      <w:r>
        <w:rPr>
          <w:rFonts w:ascii="Consolas" w:hAnsi="Consolas"/>
          <w:rFonts w:ascii="Consolas" w:hAnsi="Consolas"/>
          <w:sz w:val="20"/>
        </w:rPr>
        <w:t>ICurrentUserContext.HasMfaEnabled</w:t>
      </w:r>
      <w:r>
        <w:rPr>
          <w:rFonts w:ascii="Arial" w:hAnsi="Arial"/>
          <w:sz w:val="22"/>
        </w:rPr>
        <w:t xml:space="preserve">. Confirm no future policy is added to </w:t>
      </w:r>
      <w:r>
        <w:rPr>
          <w:rFonts w:ascii="Consolas" w:hAnsi="Consolas"/>
          <w:rFonts w:ascii="Consolas" w:hAnsi="Consolas"/>
          <w:sz w:val="20"/>
        </w:rPr>
        <w:t>Program.cs</w:t>
      </w:r>
      <w:r>
        <w:rPr>
          <w:rFonts w:ascii="Arial" w:hAnsi="Arial"/>
          <w:sz w:val="22"/>
        </w:rPr>
        <w:t xml:space="preserve"> without also adding </w:t>
      </w:r>
      <w:r>
        <w:rPr>
          <w:rFonts w:ascii="Consolas" w:hAnsi="Consolas"/>
          <w:rFonts w:ascii="Consolas" w:hAnsi="Consolas"/>
          <w:sz w:val="20"/>
        </w:rPr>
        <w:t>new MfaRequirement()</w:t>
      </w:r>
      <w:r>
        <w:rPr>
          <w:rFonts w:ascii="Arial" w:hAnsi="Arial"/>
          <w:sz w:val="22"/>
        </w:rPr>
        <w:t xml:space="preserve"> — a policy that forgets it would let an Admin/SafeguardingOfficer without MFA reach that specific page even though every other page in the app blocks them, silently narrowing the "globally enforced" design intent (</w:t>
      </w:r>
      <w:r>
        <w:rPr>
          <w:rFonts w:ascii="Consolas" w:hAnsi="Consolas"/>
          <w:rFonts w:ascii="Consolas" w:hAnsi="Consolas"/>
          <w:sz w:val="20"/>
        </w:rPr>
        <w:t>MfaRequirement</w:t>
      </w:r>
      <w:r>
        <w:rPr>
          <w:rFonts w:ascii="Arial" w:hAnsi="Arial"/>
          <w:sz w:val="22"/>
        </w:rPr>
        <w:t>'s own doc comment) down to "enforced on most pages".</w:t>
      </w:r>
    </w:p>
    <w:p>
      <w:pPr>
        <w:spacing w:after="40"/>
        <w:ind w:left="620" w:hanging="260"/>
      </w:pPr>
      <w:r>
        <w:rPr>
          <w:rFonts w:ascii="Arial" w:hAnsi="Arial"/>
          <w:sz w:val="22"/>
        </w:rPr>
        <w:t xml:space="preserve">•  </w:t>
      </w:r>
      <w:r>
        <w:rPr>
          <w:rFonts w:ascii="Arial" w:hAnsi="Arial"/>
          <w:sz w:val="22"/>
        </w:rPr>
        <w:t>[ ] **Role assignment and first-Admin bootstrap (STATE.md "Admin role assignment + first-Admin</w:t>
      </w:r>
    </w:p>
    <w:p>
      <w:pPr>
        <w:spacing w:after="80"/>
      </w:pPr>
      <w:r>
        <w:rPr>
          <w:rFonts w:ascii="Arial" w:hAnsi="Arial"/>
          <w:sz w:val="22"/>
        </w:rPr>
        <w:t xml:space="preserve">bootstrap", 2026-10-11):** </w:t>
      </w:r>
      <w:r>
        <w:rPr>
          <w:rFonts w:ascii="Consolas" w:hAnsi="Consolas"/>
          <w:rFonts w:ascii="Consolas" w:hAnsi="Consolas"/>
          <w:sz w:val="20"/>
        </w:rPr>
        <w:t>RoleAssignmentService</w:t>
      </w:r>
      <w:r>
        <w:rPr>
          <w:rFonts w:ascii="Arial" w:hAnsi="Arial"/>
          <w:sz w:val="22"/>
        </w:rPr>
        <w:t xml:space="preserve"> is still the only code that writes or deletes </w:t>
      </w:r>
      <w:r>
        <w:rPr>
          <w:rFonts w:ascii="Consolas" w:hAnsi="Consolas"/>
          <w:rFonts w:ascii="Consolas" w:hAnsi="Consolas"/>
          <w:sz w:val="20"/>
        </w:rPr>
        <w:t>UserRole</w:t>
      </w:r>
      <w:r>
        <w:rPr>
          <w:rFonts w:ascii="Arial" w:hAnsi="Arial"/>
          <w:sz w:val="22"/>
        </w:rPr>
        <w:t xml:space="preserve"> rows from </w:t>
      </w:r>
      <w:r>
        <w:rPr>
          <w:rFonts w:ascii="Consolas" w:hAnsi="Consolas"/>
          <w:rFonts w:ascii="Consolas" w:hAnsi="Consolas"/>
          <w:sz w:val="20"/>
        </w:rPr>
        <w:t>Vlms.Web</w:t>
      </w:r>
      <w:r>
        <w:rPr>
          <w:rFonts w:ascii="Arial" w:hAnsi="Arial"/>
          <w:sz w:val="22"/>
        </w:rPr>
        <w:t xml:space="preserve">, is still Admin-only inside the service (every method, including </w:t>
      </w:r>
      <w:r>
        <w:rPr>
          <w:rFonts w:ascii="Consolas" w:hAnsi="Consolas"/>
          <w:rFonts w:ascii="Consolas" w:hAnsi="Consolas"/>
          <w:sz w:val="20"/>
        </w:rPr>
        <w:t>ListUsersAsync</w:t>
      </w:r>
      <w:r>
        <w:rPr>
          <w:rFonts w:ascii="Arial" w:hAnsi="Arial"/>
          <w:sz w:val="22"/>
        </w:rPr>
        <w:t xml:space="preserve">), still refuses to revoke the last Admin, and still refuses grants to a leaver. </w:t>
      </w:r>
      <w:r>
        <w:rPr>
          <w:rFonts w:ascii="Consolas" w:hAnsi="Consolas"/>
          <w:rFonts w:ascii="Consolas" w:hAnsi="Consolas"/>
          <w:sz w:val="20"/>
        </w:rPr>
        <w:t>ApproveGuardianAsParentAsync</w:t>
      </w:r>
      <w:r>
        <w:rPr>
          <w:rFonts w:ascii="Arial" w:hAnsi="Arial"/>
          <w:sz w:val="22"/>
        </w:rPr>
        <w:t xml:space="preserve"> still grants only </w:t>
      </w:r>
      <w:r>
        <w:rPr>
          <w:rFonts w:ascii="Consolas" w:hAnsi="Consolas"/>
          <w:rFonts w:ascii="Consolas" w:hAnsi="Consolas"/>
          <w:sz w:val="20"/>
        </w:rPr>
        <w:t>Parent</w:t>
      </w:r>
      <w:r>
        <w:rPr>
          <w:rFonts w:ascii="Arial" w:hAnsi="Arial"/>
          <w:sz w:val="22"/>
        </w:rPr>
        <w:t xml:space="preserve">, only to an account that consumed a guardian invite (a self-registered account cannot be one-click approved), and goes through </w:t>
      </w:r>
      <w:r>
        <w:rPr>
          <w:rFonts w:ascii="Consolas" w:hAnsi="Consolas"/>
          <w:rFonts w:ascii="Consolas" w:hAnsi="Consolas"/>
          <w:sz w:val="20"/>
        </w:rPr>
        <w:t>GrantAsync</w:t>
      </w:r>
      <w:r>
        <w:rPr>
          <w:rFonts w:ascii="Arial" w:hAnsi="Arial"/>
          <w:sz w:val="22"/>
        </w:rPr>
        <w:t xml:space="preserve">'s own guards. </w:t>
      </w:r>
      <w:r>
        <w:rPr>
          <w:rFonts w:ascii="Consolas" w:hAnsi="Consolas"/>
          <w:rFonts w:ascii="Consolas" w:hAnsi="Consolas"/>
          <w:sz w:val="20"/>
        </w:rPr>
        <w:t>FirstAdminBootstrapService</w:t>
      </w:r>
      <w:r>
        <w:rPr>
          <w:rFonts w:ascii="Arial" w:hAnsi="Arial"/>
          <w:sz w:val="22"/>
        </w:rPr>
        <w:t xml:space="preserve"> is still wired only into </w:t>
      </w:r>
      <w:r>
        <w:rPr>
          <w:rFonts w:ascii="Consolas" w:hAnsi="Consolas"/>
          <w:rFonts w:ascii="Consolas" w:hAnsi="Consolas"/>
          <w:sz w:val="20"/>
        </w:rPr>
        <w:t>Vlms.Jobs</w:t>
      </w:r>
      <w:r>
        <w:rPr>
          <w:rFonts w:ascii="Arial" w:hAnsi="Arial"/>
          <w:sz w:val="22"/>
        </w:rPr>
        <w:t xml:space="preserve"> (</w:t>
      </w:r>
      <w:r>
        <w:rPr>
          <w:rFonts w:ascii="Consolas" w:hAnsi="Consolas"/>
          <w:rFonts w:ascii="Consolas" w:hAnsi="Consolas"/>
          <w:sz w:val="20"/>
        </w:rPr>
        <w:t>bootstrap-admin</w:t>
      </w:r>
      <w:r>
        <w:rPr>
          <w:rFonts w:ascii="Arial" w:hAnsi="Arial"/>
          <w:sz w:val="22"/>
        </w:rPr>
        <w:t xml:space="preserve">), never </w:t>
      </w:r>
      <w:r>
        <w:rPr>
          <w:rFonts w:ascii="Consolas" w:hAnsi="Consolas"/>
          <w:rFonts w:ascii="Consolas" w:hAnsi="Consolas"/>
          <w:sz w:val="20"/>
        </w:rPr>
        <w:t>Vlms.Web</w:t>
      </w:r>
      <w:r>
        <w:rPr>
          <w:rFonts w:ascii="Arial" w:hAnsi="Arial"/>
          <w:sz w:val="22"/>
        </w:rPr>
        <w:t xml:space="preserve"> (</w:t>
      </w:r>
      <w:r>
        <w:rPr>
          <w:rFonts w:ascii="Consolas" w:hAnsi="Consolas"/>
          <w:rFonts w:ascii="Consolas" w:hAnsi="Consolas"/>
          <w:sz w:val="20"/>
        </w:rPr>
        <w:t>FirstAdminBootstrapWiringTests</w:t>
      </w:r>
      <w:r>
        <w:rPr>
          <w:rFonts w:ascii="Arial" w:hAnsi="Arial"/>
          <w:sz w:val="22"/>
        </w:rPr>
        <w:t xml:space="preserve">), and still refuses to run once any Admin exists. </w:t>
      </w:r>
      <w:r>
        <w:rPr>
          <w:rFonts w:ascii="Consolas" w:hAnsi="Consolas"/>
          <w:rFonts w:ascii="Consolas" w:hAnsi="Consolas"/>
          <w:sz w:val="20"/>
        </w:rPr>
        <w:t>Administration/UserRoles.razor</w:t>
      </w:r>
      <w:r>
        <w:rPr>
          <w:rFonts w:ascii="Arial" w:hAnsi="Arial"/>
          <w:sz w:val="22"/>
        </w:rPr>
        <w:t xml:space="preserve"> is still gated by </w:t>
      </w:r>
      <w:r>
        <w:rPr>
          <w:rFonts w:ascii="Consolas" w:hAnsi="Consolas"/>
          <w:rFonts w:ascii="Consolas" w:hAnsi="Consolas"/>
          <w:sz w:val="20"/>
        </w:rPr>
        <w:t>RequireAdmin</w:t>
      </w:r>
      <w:r>
        <w:rPr>
          <w:rFonts w:ascii="Arial" w:hAnsi="Arial"/>
          <w:sz w:val="22"/>
        </w:rPr>
        <w:t xml:space="preserve"> (which carries </w:t>
      </w:r>
      <w:r>
        <w:rPr>
          <w:rFonts w:ascii="Consolas" w:hAnsi="Consolas"/>
          <w:rFonts w:ascii="Consolas" w:hAnsi="Consolas"/>
          <w:sz w:val="20"/>
        </w:rPr>
        <w:t>MfaRequirement</w:t>
      </w:r>
      <w:r>
        <w:rPr>
          <w:rFonts w:ascii="Arial" w:hAnsi="Arial"/>
          <w:sz w:val="22"/>
        </w:rPr>
        <w:t>). The bootstrap also still refuses an account whose email isn't confirmed, so a squatter who registered first under the operator's address can't be the one promoted.</w:t>
      </w:r>
    </w:p>
    <w:p>
      <w:pPr>
        <w:spacing w:after="40"/>
        <w:ind w:left="620" w:hanging="260"/>
      </w:pPr>
      <w:r>
        <w:rPr>
          <w:rFonts w:ascii="Arial" w:hAnsi="Arial"/>
          <w:sz w:val="22"/>
        </w:rPr>
        <w:t xml:space="preserve">•  </w:t>
      </w:r>
      <w:r>
        <w:rPr>
          <w:rFonts w:ascii="Arial" w:hAnsi="Arial"/>
          <w:sz w:val="22"/>
        </w:rPr>
        <w:t>[ ] **Account recovery and email confirmation (STATE.md "Password reset + Identity hardening",</w:t>
      </w:r>
    </w:p>
    <w:p>
      <w:pPr>
        <w:spacing w:after="80"/>
      </w:pPr>
      <w:r>
        <w:rPr>
          <w:rFonts w:ascii="Arial" w:hAnsi="Arial"/>
          <w:sz w:val="22"/>
        </w:rPr>
        <w:t xml:space="preserve">2026-10-12):** </w:t>
      </w:r>
      <w:r>
        <w:rPr>
          <w:rFonts w:ascii="Consolas" w:hAnsi="Consolas"/>
          <w:rFonts w:ascii="Consolas" w:hAnsi="Consolas"/>
          <w:sz w:val="20"/>
        </w:rPr>
        <w:t>VlmsIdentityPolicy</w:t>
      </w:r>
      <w:r>
        <w:rPr>
          <w:rFonts w:ascii="Arial" w:hAnsi="Arial"/>
          <w:sz w:val="22"/>
        </w:rPr>
        <w:t xml:space="preserve"> still requires a confirmed email to sign in, and only the guardian-invite path creates an account pre-confirmed (the invite was emailed to that address). </w:t>
      </w:r>
      <w:r>
        <w:rPr>
          <w:rFonts w:ascii="Consolas" w:hAnsi="Consolas"/>
          <w:rFonts w:ascii="Consolas" w:hAnsi="Consolas"/>
          <w:sz w:val="20"/>
        </w:rPr>
        <w:t>AccountEmailService</w:t>
      </w:r>
      <w:r>
        <w:rPr>
          <w:rFonts w:ascii="Arial" w:hAnsi="Arial"/>
          <w:sz w:val="22"/>
        </w:rPr>
        <w:t xml:space="preserve"> still sends a reset link only to a confirmed account, gives the same response for unknown emails, and relies on Identity's single-use codes (security stamp rotation) with </w:t>
      </w:r>
      <w:r>
        <w:rPr>
          <w:rFonts w:ascii="Consolas" w:hAnsi="Consolas"/>
          <w:rFonts w:ascii="Consolas" w:hAnsi="Consolas"/>
          <w:sz w:val="20"/>
        </w:rPr>
        <w:t>VlmsIdentityPolicy.EmailTokenLifespan</w:t>
      </w:r>
      <w:r>
        <w:rPr>
          <w:rFonts w:ascii="Arial" w:hAnsi="Arial"/>
          <w:sz w:val="22"/>
        </w:rPr>
        <w:t xml:space="preserve"> expiry. A reset grants no role and bypasses no MFA: a user with TOTP enabled still needs it at the next sign-in.</w:t>
      </w:r>
    </w:p>
    <w:p>
      <w:pPr>
        <w:keepNext/>
        <w:spacing w:before="200" w:after="80"/>
        <w:outlineLvl w:val="1"/>
      </w:pPr>
      <w:r>
        <w:rPr>
          <w:rFonts w:ascii="Arial" w:hAnsi="Arial"/>
          <w:b/>
          <w:color w:val="1F2937"/>
          <w:sz w:val="26"/>
        </w:rPr>
        <w:t>V14 Data Protection — manual review items</w:t>
      </w:r>
    </w:p>
    <w:p>
      <w:pPr>
        <w:spacing w:after="40"/>
        <w:ind w:left="620" w:hanging="260"/>
      </w:pPr>
      <w:r>
        <w:rPr>
          <w:rFonts w:ascii="Arial" w:hAnsi="Arial"/>
          <w:sz w:val="22"/>
        </w:rPr>
        <w:t xml:space="preserve">•  </w:t>
      </w:r>
      <w:r>
        <w:rPr>
          <w:rFonts w:ascii="Arial" w:hAnsi="Arial"/>
          <w:sz w:val="22"/>
        </w:rPr>
        <w:t xml:space="preserve">[ ] The </w:t>
      </w:r>
      <w:r>
        <w:rPr>
          <w:rFonts w:ascii="Consolas" w:hAnsi="Consolas"/>
          <w:rFonts w:ascii="Consolas" w:hAnsi="Consolas"/>
          <w:sz w:val="20"/>
        </w:rPr>
        <w:t>HasQueryFilter</w:t>
      </w:r>
      <w:r>
        <w:rPr>
          <w:rFonts w:ascii="Arial" w:hAnsi="Arial"/>
          <w:sz w:val="22"/>
        </w:rPr>
        <w:t xml:space="preserve"> predicates on </w:t>
      </w:r>
      <w:r>
        <w:rPr>
          <w:rFonts w:ascii="Consolas" w:hAnsi="Consolas"/>
          <w:rFonts w:ascii="Consolas" w:hAnsi="Consolas"/>
          <w:sz w:val="20"/>
        </w:rPr>
        <w:t>ConsentSensitiveDetails</w:t>
      </w:r>
      <w:r>
        <w:rPr>
          <w:rFonts w:ascii="Arial" w:hAnsi="Arial"/>
          <w:sz w:val="22"/>
        </w:rPr>
        <w:t>/</w:t>
      </w:r>
      <w:r>
        <w:rPr>
          <w:rFonts w:ascii="Consolas" w:hAnsi="Consolas"/>
          <w:rFonts w:ascii="Consolas" w:hAnsi="Consolas"/>
          <w:sz w:val="20"/>
        </w:rPr>
        <w:t>DbsCheck</w:t>
      </w:r>
      <w:r>
        <w:rPr>
          <w:rFonts w:ascii="Arial" w:hAnsi="Arial"/>
          <w:sz w:val="22"/>
        </w:rPr>
        <w:t xml:space="preserve"> in</w:t>
      </w:r>
    </w:p>
    <w:p>
      <w:pPr>
        <w:spacing w:after="80"/>
      </w:pPr>
      <w:r>
        <w:rPr>
          <w:rFonts w:ascii="Consolas" w:hAnsi="Consolas"/>
          <w:rFonts w:ascii="Consolas" w:hAnsi="Consolas"/>
          <w:sz w:val="20"/>
        </w:rPr>
        <w:t>VlmsDbContext.OnModelCreating</w:t>
      </w:r>
      <w:r>
        <w:rPr>
          <w:rFonts w:ascii="Arial" w:hAnsi="Arial"/>
          <w:sz w:val="22"/>
        </w:rPr>
        <w:t xml:space="preserve"> still read exactly </w:t>
      </w:r>
      <w:r>
        <w:rPr>
          <w:rFonts w:ascii="Consolas" w:hAnsi="Consolas"/>
          <w:rFonts w:ascii="Consolas" w:hAnsi="Consolas"/>
          <w:sz w:val="20"/>
        </w:rPr>
        <w:t>(_currentUser.HasRole(Role.Admin) || _currentUser.HasRole(Role.SafeguardingOfficer)) &amp;&amp; _currentUser.HasMfaEnabled</w:t>
      </w:r>
      <w:r>
        <w:rPr>
          <w:rFonts w:ascii="Arial" w:hAnsi="Arial"/>
          <w:sz w:val="22"/>
        </w:rPr>
        <w:t xml:space="preserve"> — </w:t>
      </w:r>
      <w:r>
        <w:rPr>
          <w:rFonts w:ascii="Arial" w:hAnsi="Arial"/>
          <w:b/>
          <w:sz w:val="22"/>
        </w:rPr>
        <w:t>updated this review</w:t>
      </w:r>
      <w:r>
        <w:rPr>
          <w:rFonts w:ascii="Arial" w:hAnsi="Arial"/>
          <w:sz w:val="22"/>
        </w:rPr>
        <w:t xml:space="preserve"> (STATE.md "Identity" item 4, adr/0004 §"MFA-gated roles" pass 7): the </w:t>
      </w:r>
      <w:r>
        <w:rPr>
          <w:rFonts w:ascii="Consolas" w:hAnsi="Consolas"/>
          <w:rFonts w:ascii="Consolas" w:hAnsi="Consolas"/>
          <w:sz w:val="20"/>
        </w:rPr>
        <w:t>&amp;&amp; HasMfaEnabled</w:t>
      </w:r>
      <w:r>
        <w:rPr>
          <w:rFonts w:ascii="Arial" w:hAnsi="Arial"/>
          <w:sz w:val="22"/>
        </w:rPr>
        <w:t xml:space="preserve"> conjunct is a genuine strengthening added alongside the identity-provider swap, not a mechanical rename — it closes the gap where an Admin/SafeguardingOfficer without MFA enrolled could be blocked from the </w:t>
      </w:r>
      <w:r>
        <w:rPr>
          <w:rFonts w:ascii="Consolas" w:hAnsi="Consolas"/>
          <w:rFonts w:ascii="Consolas" w:hAnsi="Consolas"/>
          <w:sz w:val="20"/>
        </w:rPr>
        <w:t>/safeguarding/*</w:t>
      </w:r>
      <w:r>
        <w:rPr>
          <w:rFonts w:ascii="Arial" w:hAnsi="Arial"/>
          <w:sz w:val="22"/>
        </w:rPr>
        <w:t xml:space="preserve"> pages by </w:t>
      </w:r>
      <w:r>
        <w:rPr>
          <w:rFonts w:ascii="Consolas" w:hAnsi="Consolas"/>
          <w:rFonts w:ascii="Consolas" w:hAnsi="Consolas"/>
          <w:sz w:val="20"/>
        </w:rPr>
        <w:t>MfaRequirementHandler</w:t>
      </w:r>
      <w:r>
        <w:rPr>
          <w:rFonts w:ascii="Arial" w:hAnsi="Arial"/>
          <w:sz w:val="22"/>
        </w:rPr>
        <w:t xml:space="preserve"> yet still read these entities through any other code path querying </w:t>
      </w:r>
      <w:r>
        <w:rPr>
          <w:rFonts w:ascii="Consolas" w:hAnsi="Consolas"/>
          <w:rFonts w:ascii="Consolas" w:hAnsi="Consolas"/>
          <w:sz w:val="20"/>
        </w:rPr>
        <w:t>VlmsDbContext</w:t>
      </w:r>
      <w:r>
        <w:rPr>
          <w:rFonts w:ascii="Arial" w:hAnsi="Arial"/>
          <w:sz w:val="22"/>
        </w:rPr>
        <w:t xml:space="preserve"> directly. No additional role has been added to either filter without an explicit, documented decision.</w:t>
      </w:r>
    </w:p>
    <w:p>
      <w:pPr>
        <w:spacing w:after="40"/>
        <w:ind w:left="620" w:hanging="260"/>
      </w:pPr>
      <w:r>
        <w:rPr>
          <w:rFonts w:ascii="Arial" w:hAnsi="Arial"/>
          <w:sz w:val="22"/>
        </w:rPr>
        <w:t xml:space="preserve">•  </w:t>
      </w:r>
      <w:r>
        <w:rPr>
          <w:rFonts w:ascii="Arial" w:hAnsi="Arial"/>
          <w:sz w:val="22"/>
        </w:rPr>
        <w:t xml:space="preserve">[ ] </w:t>
      </w:r>
      <w:r>
        <w:rPr>
          <w:rFonts w:ascii="Consolas" w:hAnsi="Consolas"/>
          <w:rFonts w:ascii="Consolas" w:hAnsi="Consolas"/>
          <w:sz w:val="20"/>
        </w:rPr>
        <w:t>SystemCurrentUserContext</w:t>
      </w:r>
      <w:r>
        <w:rPr>
          <w:rFonts w:ascii="Arial" w:hAnsi="Arial"/>
          <w:sz w:val="22"/>
        </w:rPr>
        <w:t xml:space="preserve"> (used only by the </w:t>
      </w:r>
      <w:r>
        <w:rPr>
          <w:rFonts w:ascii="Consolas" w:hAnsi="Consolas"/>
          <w:rFonts w:ascii="Consolas" w:hAnsi="Consolas"/>
          <w:sz w:val="20"/>
        </w:rPr>
        <w:t>Vlms.Jobs</w:t>
      </w:r>
      <w:r>
        <w:rPr>
          <w:rFonts w:ascii="Arial" w:hAnsi="Arial"/>
          <w:sz w:val="22"/>
        </w:rPr>
        <w:t xml:space="preserve"> systemd-timer-invoked console host) still grants exactly</w:t>
      </w:r>
    </w:p>
    <w:p>
      <w:pPr>
        <w:spacing w:after="80"/>
      </w:pPr>
      <w:r>
        <w:rPr>
          <w:rFonts w:ascii="Consolas" w:hAnsi="Consolas"/>
          <w:rFonts w:ascii="Consolas" w:hAnsi="Consolas"/>
          <w:sz w:val="20"/>
        </w:rPr>
        <w:t>Role.Admin</w:t>
      </w:r>
      <w:r>
        <w:rPr>
          <w:rFonts w:ascii="Arial" w:hAnsi="Arial"/>
          <w:sz w:val="22"/>
        </w:rPr>
        <w:t>/</w:t>
      </w:r>
      <w:r>
        <w:rPr>
          <w:rFonts w:ascii="Consolas" w:hAnsi="Consolas"/>
          <w:rFonts w:ascii="Consolas" w:hAnsi="Consolas"/>
          <w:sz w:val="20"/>
        </w:rPr>
        <w:t>Role.SafeguardingOfficer</w:t>
      </w:r>
      <w:r>
        <w:rPr>
          <w:rFonts w:ascii="Arial" w:hAnsi="Arial"/>
          <w:sz w:val="22"/>
        </w:rPr>
        <w:t xml:space="preserve"> and nothing broader, and its </w:t>
      </w:r>
      <w:r>
        <w:rPr>
          <w:rFonts w:ascii="Consolas" w:hAnsi="Consolas"/>
          <w:rFonts w:ascii="Consolas" w:hAnsi="Consolas"/>
          <w:sz w:val="20"/>
        </w:rPr>
        <w:t>HasMfaEnabled</w:t>
      </w:r>
      <w:r>
        <w:rPr>
          <w:rFonts w:ascii="Arial" w:hAnsi="Arial"/>
          <w:sz w:val="22"/>
        </w:rPr>
        <w:t xml:space="preserve"> is hardcoded </w:t>
      </w:r>
      <w:r>
        <w:rPr>
          <w:rFonts w:ascii="Consolas" w:hAnsi="Consolas"/>
          <w:rFonts w:ascii="Consolas" w:hAnsi="Consolas"/>
          <w:sz w:val="20"/>
        </w:rPr>
        <w:t>true</w:t>
      </w:r>
      <w:r>
        <w:rPr>
          <w:rFonts w:ascii="Arial" w:hAnsi="Arial"/>
          <w:sz w:val="22"/>
        </w:rPr>
        <w:t xml:space="preserve"> (documented in its own doc comment: MFA enforcement gates interactive sign-in by a human, which this trusted, narrowly-scoped system principal is not) — it is a narrow, named exception to "no code bypasses the filter", not a general bypass.</w:t>
      </w:r>
    </w:p>
    <w:p>
      <w:pPr>
        <w:spacing w:after="40"/>
        <w:ind w:left="620" w:hanging="260"/>
      </w:pPr>
      <w:r>
        <w:rPr>
          <w:rFonts w:ascii="Arial" w:hAnsi="Arial"/>
          <w:sz w:val="22"/>
        </w:rPr>
        <w:t xml:space="preserve">•  </w:t>
      </w:r>
      <w:r>
        <w:rPr>
          <w:rFonts w:ascii="Arial" w:hAnsi="Arial"/>
          <w:sz w:val="22"/>
        </w:rPr>
        <w:t xml:space="preserve">[ ] </w:t>
      </w:r>
      <w:r>
        <w:rPr>
          <w:rFonts w:ascii="Consolas" w:hAnsi="Consolas"/>
          <w:rFonts w:ascii="Consolas" w:hAnsi="Consolas"/>
          <w:sz w:val="20"/>
        </w:rPr>
        <w:t>SensitiveDataAccessLog</w:t>
      </w:r>
      <w:r>
        <w:rPr>
          <w:rFonts w:ascii="Arial" w:hAnsi="Arial"/>
          <w:sz w:val="22"/>
        </w:rPr>
        <w:t>'s database-level tamper protection — now `REVOKE UPDATE, DELETE ON</w:t>
      </w:r>
    </w:p>
    <w:p>
      <w:pPr>
        <w:spacing w:after="80"/>
      </w:pPr>
      <w:r>
        <w:rPr>
          <w:rFonts w:ascii="Arial" w:hAnsi="Arial"/>
          <w:sz w:val="22"/>
        </w:rPr>
        <w:t>sensitive_data_access_logs FROM PUBLIC</w:t>
      </w:r>
      <w:r>
        <w:rPr>
          <w:rFonts w:ascii="Consolas" w:hAnsi="Consolas"/>
          <w:rFonts w:ascii="Consolas" w:hAnsi="Consolas"/>
          <w:sz w:val="20"/>
        </w:rPr>
        <w:t xml:space="preserve"> on PostgreSQL (adr/0004 §4 pass 6, adr/0005-hosting-pivot-self-hosted-vps-postgresql.md; was SQL Server </w:t>
      </w:r>
      <w:r>
        <w:rPr>
          <w:rFonts w:ascii="Arial" w:hAnsi="Arial"/>
          <w:sz w:val="22"/>
        </w:rPr>
        <w:t>DENY ... TO public</w:t>
      </w:r>
      <w:r>
        <w:rPr>
          <w:rFonts w:ascii="Consolas" w:hAnsi="Consolas"/>
          <w:rFonts w:ascii="Consolas" w:hAnsi="Consolas"/>
          <w:sz w:val="20"/>
        </w:rPr>
        <w:t xml:space="preserve">). The </w:t>
      </w:r>
      <w:r>
        <w:rPr>
          <w:rFonts w:ascii="Arial" w:hAnsi="Arial"/>
          <w:sz w:val="22"/>
        </w:rPr>
        <w:t>REVOKE</w:t>
      </w:r>
      <w:r>
        <w:rPr>
          <w:rFonts w:ascii="Consolas" w:hAnsi="Consolas"/>
          <w:rFonts w:ascii="Consolas" w:hAnsi="Consolas"/>
          <w:sz w:val="20"/>
        </w:rPr>
        <w:t xml:space="preserve"> alone was verified weaker than the SQL Server original, not equivalent; the Row-Level Security layer in adr/0004 §6 (pass 8) closes that gap, and is a true DENY-equivalent only for the roles this deployment creates (a genuine superuser or </w:t>
      </w:r>
      <w:r>
        <w:rPr>
          <w:rFonts w:ascii="Arial" w:hAnsi="Arial"/>
          <w:sz w:val="22"/>
        </w:rPr>
        <w:t>BYPASSRLS</w:t>
      </w:r>
      <w:r>
        <w:rPr>
          <w:rFonts w:ascii="Consolas" w:hAnsi="Consolas"/>
          <w:rFonts w:ascii="Consolas" w:hAnsi="Consolas"/>
          <w:sz w:val="20"/>
        </w:rPr>
        <w:t xml:space="preserve"> session still bypasses it — adr/0004 §6(e)). See adr/0004 §4 and §6 and openwiki/access-control.md. Confirm the residual, now-more-load-bearing requirement is still tracked (</w:t>
      </w:r>
      <w:r>
        <w:rPr>
          <w:rFonts w:ascii="Arial" w:hAnsi="Arial"/>
          <w:sz w:val="22"/>
        </w:rPr>
        <w:t>governance/raid.md</w:t>
      </w:r>
      <w:r>
        <w:rPr>
          <w:rFonts w:ascii="Consolas" w:hAnsi="Consolas"/>
          <w:rFonts w:ascii="Consolas" w:hAnsi="Consolas"/>
          <w:sz w:val="20"/>
        </w:rPr>
        <w:t xml:space="preserve"> D-004: the app's connecting role must never be this table's owner and must never be explicitly granted </w:t>
      </w:r>
      <w:r>
        <w:rPr>
          <w:rFonts w:ascii="Arial" w:hAnsi="Arial"/>
          <w:sz w:val="22"/>
        </w:rPr>
        <w:t>UPDATE</w:t>
      </w:r>
      <w:r>
        <w:rPr>
          <w:rFonts w:ascii="Consolas" w:hAnsi="Consolas"/>
          <w:rFonts w:ascii="Consolas" w:hAnsi="Consolas"/>
          <w:sz w:val="20"/>
        </w:rPr>
        <w:t>/</w:t>
      </w:r>
      <w:r>
        <w:rPr>
          <w:rFonts w:ascii="Arial" w:hAnsi="Arial"/>
          <w:sz w:val="22"/>
        </w:rPr>
        <w:t>DELETE</w:t>
      </w:r>
      <w:r>
        <w:rPr>
          <w:rFonts w:ascii="Consolas" w:hAnsi="Consolas"/>
          <w:rFonts w:ascii="Consolas" w:hAnsi="Consolas"/>
          <w:sz w:val="20"/>
        </w:rPr>
        <w:t xml:space="preserve"> on it) and that the RLS policy on </w:t>
      </w:r>
      <w:r>
        <w:rPr>
          <w:rFonts w:ascii="Arial" w:hAnsi="Arial"/>
          <w:sz w:val="22"/>
        </w:rPr>
        <w:t>sensitive_data_access_logs</w:t>
      </w:r>
      <w:r>
        <w:rPr>
          <w:rFonts w:ascii="Consolas" w:hAnsi="Consolas"/>
          <w:rFonts w:ascii="Consolas" w:hAnsi="Consolas"/>
          <w:sz w:val="20"/>
        </w:rPr>
        <w:t xml:space="preserve"> is still in place: migration </w:t>
      </w:r>
      <w:r>
        <w:rPr>
          <w:rFonts w:ascii="Arial" w:hAnsi="Arial"/>
          <w:sz w:val="22"/>
        </w:rPr>
        <w:t>20260722163442_EnforceRowLevelSecurityOnSensitiveDataAccessLog</w:t>
      </w:r>
      <w:r>
        <w:rPr>
          <w:rFonts w:ascii="Consolas" w:hAnsi="Consolas"/>
          <w:rFonts w:ascii="Consolas" w:hAnsi="Consolas"/>
          <w:sz w:val="20"/>
        </w:rPr>
        <w:t xml:space="preserve"> (</w:t>
      </w:r>
      <w:r>
        <w:rPr>
          <w:rFonts w:ascii="Arial" w:hAnsi="Arial"/>
          <w:sz w:val="22"/>
        </w:rPr>
        <w:t>src/Vlms.Infrastructure/Migrations/</w:t>
      </w:r>
      <w:r>
        <w:rPr>
          <w:rFonts w:ascii="Consolas" w:hAnsi="Consolas"/>
          <w:rFonts w:ascii="Consolas" w:hAnsi="Consolas"/>
          <w:sz w:val="20"/>
        </w:rPr>
        <w:t xml:space="preserve">) still enables and forces row-level security with </w:t>
      </w:r>
      <w:r>
        <w:rPr>
          <w:rFonts w:ascii="Arial" w:hAnsi="Arial"/>
          <w:sz w:val="22"/>
        </w:rPr>
        <w:t>SELECT</w:t>
      </w:r>
      <w:r>
        <w:rPr>
          <w:rFonts w:ascii="Consolas" w:hAnsi="Consolas"/>
          <w:rFonts w:ascii="Consolas" w:hAnsi="Consolas"/>
          <w:sz w:val="20"/>
        </w:rPr>
        <w:t>/</w:t>
      </w:r>
      <w:r>
        <w:rPr>
          <w:rFonts w:ascii="Arial" w:hAnsi="Arial"/>
          <w:sz w:val="22"/>
        </w:rPr>
        <w:t>INSERT</w:t>
      </w:r>
      <w:r>
        <w:rPr>
          <w:rFonts w:ascii="Consolas" w:hAnsi="Consolas"/>
          <w:rFonts w:ascii="Consolas" w:hAnsi="Consolas"/>
          <w:sz w:val="20"/>
        </w:rPr>
        <w:t xml:space="preserve"> policies and no </w:t>
      </w:r>
      <w:r>
        <w:rPr>
          <w:rFonts w:ascii="Arial" w:hAnsi="Arial"/>
          <w:sz w:val="22"/>
        </w:rPr>
        <w:t>UPDATE</w:t>
      </w:r>
      <w:r>
        <w:rPr>
          <w:rFonts w:ascii="Consolas" w:hAnsi="Consolas"/>
          <w:rFonts w:ascii="Consolas" w:hAnsi="Consolas"/>
          <w:sz w:val="20"/>
        </w:rPr>
        <w:t>/</w:t>
      </w:r>
      <w:r>
        <w:rPr>
          <w:rFonts w:ascii="Arial" w:hAnsi="Arial"/>
          <w:sz w:val="22"/>
        </w:rPr>
        <w:t>DELETE` policy.</w:t>
      </w:r>
    </w:p>
    <w:p>
      <w:pPr>
        <w:keepNext/>
        <w:spacing w:before="200" w:after="80"/>
        <w:outlineLvl w:val="1"/>
      </w:pPr>
      <w:r>
        <w:rPr>
          <w:rFonts w:ascii="Arial" w:hAnsi="Arial"/>
          <w:b/>
          <w:color w:val="1F2937"/>
          <w:sz w:val="26"/>
        </w:rPr>
        <w:t>V16 Security Logging — manual review items</w:t>
      </w:r>
    </w:p>
    <w:p>
      <w:pPr>
        <w:spacing w:after="40"/>
        <w:ind w:left="620" w:hanging="260"/>
      </w:pPr>
      <w:r>
        <w:rPr>
          <w:rFonts w:ascii="Arial" w:hAnsi="Arial"/>
          <w:sz w:val="22"/>
        </w:rPr>
        <w:t xml:space="preserve">•  </w:t>
      </w:r>
      <w:r>
        <w:rPr>
          <w:rFonts w:ascii="Arial" w:hAnsi="Arial"/>
          <w:sz w:val="22"/>
        </w:rPr>
        <w:t xml:space="preserve">[ ] </w:t>
      </w:r>
      <w:r>
        <w:rPr>
          <w:rFonts w:ascii="Consolas" w:hAnsi="Consolas"/>
          <w:rFonts w:ascii="Consolas" w:hAnsi="Consolas"/>
          <w:sz w:val="20"/>
        </w:rPr>
        <w:t>SensitiveDataAuditInterceptor</w:t>
      </w:r>
      <w:r>
        <w:rPr>
          <w:rFonts w:ascii="Arial" w:hAnsi="Arial"/>
          <w:sz w:val="22"/>
        </w:rPr>
        <w:t xml:space="preserve"> still fires on every code path that reads </w:t>
      </w:r>
      <w:r>
        <w:rPr>
          <w:rFonts w:ascii="Consolas" w:hAnsi="Consolas"/>
          <w:rFonts w:ascii="Consolas" w:hAnsi="Consolas"/>
          <w:sz w:val="20"/>
        </w:rPr>
        <w:t>DbsCheck</w:t>
      </w:r>
      <w:r>
        <w:rPr>
          <w:rFonts w:ascii="Arial" w:hAnsi="Arial"/>
          <w:sz w:val="22"/>
        </w:rPr>
        <w:t>/</w:t>
      </w:r>
    </w:p>
    <w:p>
      <w:pPr>
        <w:spacing w:after="80"/>
      </w:pPr>
      <w:r>
        <w:rPr>
          <w:rFonts w:ascii="Consolas" w:hAnsi="Consolas"/>
          <w:rFonts w:ascii="Consolas" w:hAnsi="Consolas"/>
          <w:sz w:val="20"/>
        </w:rPr>
        <w:t>ConsentSensitiveDetails</w:t>
      </w:r>
      <w:r>
        <w:rPr>
          <w:rFonts w:ascii="Arial" w:hAnsi="Arial"/>
          <w:sz w:val="22"/>
        </w:rPr>
        <w:t xml:space="preserve"> — in particular, confirm no new query anywhere in the codebase projects either entity via </w:t>
      </w:r>
      <w:r>
        <w:rPr>
          <w:rFonts w:ascii="Consolas" w:hAnsi="Consolas"/>
          <w:rFonts w:ascii="Consolas" w:hAnsi="Consolas"/>
          <w:sz w:val="20"/>
        </w:rPr>
        <w:t>.Select(...)</w:t>
      </w:r>
      <w:r>
        <w:rPr>
          <w:rFonts w:ascii="Arial" w:hAnsi="Arial"/>
          <w:sz w:val="22"/>
        </w:rPr>
        <w:t xml:space="preserve"> into an anonymous type before materializing the entity itself (the exact regression the c0ff6b3 checker round-trip found and fixed in </w:t>
      </w:r>
      <w:r>
        <w:rPr>
          <w:rFonts w:ascii="Consolas" w:hAnsi="Consolas"/>
          <w:rFonts w:ascii="Consolas" w:hAnsi="Consolas"/>
          <w:sz w:val="20"/>
        </w:rPr>
        <w:t>ConsentExpiryJob.SweepDbsAsync</w:t>
      </w:r>
      <w:r>
        <w:rPr>
          <w:rFonts w:ascii="Arial" w:hAnsi="Arial"/>
          <w:sz w:val="22"/>
        </w:rPr>
        <w:t xml:space="preserve"> — a projection skips </w:t>
      </w:r>
      <w:r>
        <w:rPr>
          <w:rFonts w:ascii="Consolas" w:hAnsi="Consolas"/>
          <w:rFonts w:ascii="Consolas" w:hAnsi="Consolas"/>
          <w:sz w:val="20"/>
        </w:rPr>
        <w:t>IMaterializationInterceptor</w:t>
      </w:r>
      <w:r>
        <w:rPr>
          <w:rFonts w:ascii="Arial" w:hAnsi="Arial"/>
          <w:sz w:val="22"/>
        </w:rPr>
        <w:t xml:space="preserve"> entirely). Grep for </w:t>
      </w:r>
      <w:r>
        <w:rPr>
          <w:rFonts w:ascii="Consolas" w:hAnsi="Consolas"/>
          <w:rFonts w:ascii="Consolas" w:hAnsi="Consolas"/>
          <w:sz w:val="20"/>
        </w:rPr>
        <w:t>.Select(</w:t>
      </w:r>
      <w:r>
        <w:rPr>
          <w:rFonts w:ascii="Arial" w:hAnsi="Arial"/>
          <w:sz w:val="22"/>
        </w:rPr>
        <w:t xml:space="preserve"> near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and check each hit materializes the entity first.</w:t>
      </w:r>
    </w:p>
    <w:p>
      <w:pPr>
        <w:keepNext/>
        <w:spacing w:before="200" w:after="80"/>
        <w:outlineLvl w:val="1"/>
      </w:pPr>
      <w:r>
        <w:rPr>
          <w:rFonts w:ascii="Arial" w:hAnsi="Arial"/>
          <w:b/>
          <w:color w:val="1F2937"/>
          <w:sz w:val="26"/>
        </w:rPr>
        <w:t>Sign-off</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2125"/>
            <w:shd w:val="clear" w:color="auto" w:fill="374151"/>
          </w:tcPr>
          <w:p>
            <w:pPr>
              <w:spacing w:after="40" w:before="40"/>
            </w:pPr>
            <w:r>
              <w:rPr>
                <w:rFonts w:ascii="Arial" w:hAnsi="Arial"/>
                <w:b/>
                <w:color w:val="FFFFFF"/>
                <w:sz w:val="20"/>
              </w:rPr>
              <w:t>Reviewed by</w:t>
            </w:r>
          </w:p>
        </w:tc>
        <w:tc>
          <w:tcPr>
            <w:tcW w:type="dxa" w:w="1327"/>
            <w:shd w:val="clear" w:color="auto" w:fill="374151"/>
          </w:tcPr>
          <w:p>
            <w:pPr>
              <w:spacing w:after="40" w:before="40"/>
            </w:pPr>
            <w:r>
              <w:rPr>
                <w:rFonts w:ascii="Arial" w:hAnsi="Arial"/>
                <w:b/>
                <w:color w:val="FFFFFF"/>
                <w:sz w:val="20"/>
              </w:rPr>
              <w:t>Date</w:t>
            </w:r>
          </w:p>
        </w:tc>
        <w:tc>
          <w:tcPr>
            <w:tcW w:type="dxa" w:w="5574"/>
            <w:shd w:val="clear" w:color="auto" w:fill="374151"/>
          </w:tcPr>
          <w:p>
            <w:pPr>
              <w:spacing w:after="40" w:before="40"/>
            </w:pPr>
            <w:r>
              <w:rPr>
                <w:rFonts w:ascii="Arial" w:hAnsi="Arial"/>
                <w:b/>
                <w:color w:val="FFFFFF"/>
                <w:sz w:val="20"/>
              </w:rPr>
              <w:t>Notes</w:t>
            </w:r>
          </w:p>
        </w:tc>
      </w:tr>
      <w:tr>
        <w:tc>
          <w:tcPr>
            <w:tcW w:type="dxa" w:w="2125"/>
            <w:shd w:val="clear" w:color="auto" w:fill="F3F4F6"/>
          </w:tcPr>
          <w:p>
            <w:pPr>
              <w:spacing w:after="40" w:before="40"/>
            </w:pPr>
            <w:r>
              <w:rPr>
                <w:rFonts w:ascii="Arial" w:hAnsi="Arial"/>
                <w:sz w:val="20"/>
              </w:rPr>
              <w:t>Philip Luke Thomas</w:t>
            </w:r>
          </w:p>
        </w:tc>
        <w:tc>
          <w:tcPr>
            <w:tcW w:type="dxa" w:w="1327"/>
            <w:shd w:val="clear" w:color="auto" w:fill="F3F4F6"/>
          </w:tcPr>
          <w:p>
            <w:pPr>
              <w:spacing w:after="40" w:before="40"/>
            </w:pPr>
            <w:r>
              <w:rPr>
                <w:rFonts w:ascii="Arial" w:hAnsi="Arial"/>
                <w:sz w:val="20"/>
              </w:rPr>
              <w:t>2026-07-19</w:t>
            </w:r>
          </w:p>
        </w:tc>
        <w:tc>
          <w:tcPr>
            <w:tcW w:type="dxa" w:w="5574"/>
            <w:shd w:val="clear" w:color="auto" w:fill="F3F4F6"/>
          </w:tcPr>
          <w:p>
            <w:pPr>
              <w:spacing w:after="40" w:before="40"/>
            </w:pPr>
            <w:r>
              <w:rPr>
                <w:rFonts w:ascii="Arial" w:hAnsi="Arial"/>
                <w:sz w:val="20"/>
              </w:rPr>
              <w:t>Initial checklist authored alongside the verify.ps1 gate stage. All items above checked against the codebase as it stood at this review; no gaps found beyond the already-tracked STATE.md Next item 1 (audit-log tamper protection SQL).</w:t>
            </w:r>
          </w:p>
        </w:tc>
      </w:tr>
      <w:tr>
        <w:tc>
          <w:tcPr>
            <w:tcW w:type="dxa" w:w="2125"/>
            <w:shd w:val="clear" w:color="auto" w:fill="FFFFFF"/>
          </w:tcPr>
          <w:p>
            <w:pPr>
              <w:spacing w:after="40" w:before="40"/>
            </w:pPr>
            <w:r>
              <w:rPr>
                <w:rFonts w:ascii="Arial" w:hAnsi="Arial"/>
                <w:sz w:val="20"/>
              </w:rPr>
              <w:t>Philip Luke Thomas</w:t>
            </w:r>
          </w:p>
        </w:tc>
        <w:tc>
          <w:tcPr>
            <w:tcW w:type="dxa" w:w="1327"/>
            <w:shd w:val="clear" w:color="auto" w:fill="FFFFFF"/>
          </w:tcPr>
          <w:p>
            <w:pPr>
              <w:spacing w:after="40" w:before="40"/>
            </w:pPr>
            <w:r>
              <w:rPr>
                <w:rFonts w:ascii="Arial" w:hAnsi="Arial"/>
                <w:sz w:val="20"/>
              </w:rPr>
              <w:t>2026-07-20</w:t>
            </w:r>
          </w:p>
        </w:tc>
        <w:tc>
          <w:tcPr>
            <w:tcW w:type="dxa" w:w="5574"/>
            <w:shd w:val="clear" w:color="auto" w:fill="FFFFFF"/>
          </w:tcPr>
          <w:p>
            <w:pPr>
              <w:spacing w:after="40" w:before="40"/>
            </w:pPr>
            <w:r>
              <w:rPr>
                <w:rFonts w:ascii="Arial" w:hAnsi="Arial"/>
                <w:sz w:val="20"/>
              </w:rPr>
              <w:t>Re-reviewed after the EF Core provider migration to PostgreSQL (adr/0005) invalidated the recorded hash — VlmsDbContext.cs/Vlms.Web/Program.cs changed (provider swap only: UseSqlServer→UseNpgsql, doc comments; zero authorization logic touched). Walked every item above against the current code: role/policy list, Approver's lack of any sensitive-data path, resource-handler scoping, StudentGuardianLink creation sites, and the HasQueryFilter/SystemCurrentUserContext predicates are all byte-for-byte unchanged — confirmed by reading the current files, not assumed from the diff being "just a provider swap". The one substantive update: the tamper-protection bullet now names the PostgreSQL REVOKE mechanism and its verified-weaker-than-SQL-Server-DENY caveat (see adr/0004 §4 pass 6) rather than the retired SQL Server DENY. No new gaps found beyond the already-tracked Row-Level-Security follow-up (STATE.md Next).</w:t>
            </w:r>
          </w:p>
        </w:tc>
      </w:tr>
      <w:tr>
        <w:tc>
          <w:tcPr>
            <w:tcW w:type="dxa" w:w="2125"/>
            <w:shd w:val="clear" w:color="auto" w:fill="F3F4F6"/>
          </w:tcPr>
          <w:p>
            <w:pPr>
              <w:spacing w:after="40" w:before="40"/>
            </w:pPr>
            <w:r>
              <w:rPr>
                <w:rFonts w:ascii="Arial" w:hAnsi="Arial"/>
                <w:sz w:val="20"/>
              </w:rPr>
              <w:t>Philip Luke Thomas</w:t>
            </w:r>
          </w:p>
        </w:tc>
        <w:tc>
          <w:tcPr>
            <w:tcW w:type="dxa" w:w="1327"/>
            <w:shd w:val="clear" w:color="auto" w:fill="F3F4F6"/>
          </w:tcPr>
          <w:p>
            <w:pPr>
              <w:spacing w:after="40" w:before="40"/>
            </w:pPr>
            <w:r>
              <w:rPr>
                <w:rFonts w:ascii="Arial" w:hAnsi="Arial"/>
                <w:sz w:val="20"/>
              </w:rPr>
              <w:t>2026-07-20</w:t>
            </w:r>
          </w:p>
        </w:tc>
        <w:tc>
          <w:tcPr>
            <w:tcW w:type="dxa" w:w="5574"/>
            <w:shd w:val="clear" w:color="auto" w:fill="F3F4F6"/>
          </w:tcPr>
          <w:p>
            <w:pPr>
              <w:spacing w:after="40" w:before="40"/>
            </w:pPr>
            <w:r>
              <w:rPr>
                <w:rFonts w:ascii="Arial" w:hAnsi="Arial"/>
                <w:sz w:val="20"/>
              </w:rPr>
              <w:t>Re-reviewed after STATE.md's "Identity" item (Microsoft Entra External ID → self-rolled ASP.NET Core Identity + TOTP MFA; Microsoft Graph guardian invitation → self-rolled signed/single-use/expiring invite link). This is a substantive change, not a rename — read every hashed file, not just the diff. Findings: (1) the allow-list gained the new sign-in/account-creation pages, each individually checked for why unauthenticated reach is safe (see the new note above); (2) a genuine strengthening — MfaRequirement/MfaRequirementHandler now ride every AddAuthorization policy, and VlmsDbContext's DbsCheck/ConsentSensitiveDetails query filters gained &amp;&amp; HasMfaEnabled — both updated as new checklist bullets above, both confirmed present in the current code (Program.cs's policy block, VlmsDbContext.OnModelCreating); (3) SystemCurrentUserContext.HasMfaEnabled is hardcoded true, confirmed as a deliberate, documented exception (system principal, not interactive human sign-in), not an oversight; (4) role/policy list, Approver's lack of any sensitive-data path, resource-handler scoping, and StudentGuardianLink creation sites (still only GuardianLinkService/StudentRegistrationService) are all unchanged; (5) the two new services (GuardianInviteService, AppUserProvisioningService) were checked against the defense-in-depth item — GuardianInviteService.IssueAsync role-checks itself, AppUserProvisioningService legitimately has no role check since it never touches the four listed entities and a fresh AppUser still gets zero UserRole rows; (6) grepped for new .Select(...) near DbsCheck/ConsentSensitiveDetails — none introduced. No new gaps found beyond the already-tracked Row-Level-Security follow-up (STATE.md Next).</w:t>
            </w:r>
          </w:p>
        </w:tc>
      </w:tr>
      <w:tr>
        <w:tc>
          <w:tcPr>
            <w:tcW w:type="dxa" w:w="2125"/>
            <w:shd w:val="clear" w:color="auto" w:fill="FFFFFF"/>
          </w:tcPr>
          <w:p>
            <w:pPr>
              <w:spacing w:after="40" w:before="40"/>
            </w:pPr>
            <w:r>
              <w:rPr>
                <w:rFonts w:ascii="Arial" w:hAnsi="Arial"/>
                <w:sz w:val="20"/>
              </w:rPr>
              <w:t>Philip Luke Thomas</w:t>
            </w:r>
          </w:p>
        </w:tc>
        <w:tc>
          <w:tcPr>
            <w:tcW w:type="dxa" w:w="1327"/>
            <w:shd w:val="clear" w:color="auto" w:fill="FFFFFF"/>
          </w:tcPr>
          <w:p>
            <w:pPr>
              <w:spacing w:after="40" w:before="40"/>
            </w:pPr>
            <w:r>
              <w:rPr>
                <w:rFonts w:ascii="Arial" w:hAnsi="Arial"/>
                <w:sz w:val="20"/>
              </w:rPr>
              <w:t>2026-07-21</w:t>
            </w:r>
          </w:p>
        </w:tc>
        <w:tc>
          <w:tcPr>
            <w:tcW w:type="dxa" w:w="5574"/>
            <w:shd w:val="clear" w:color="auto" w:fill="FFFFFF"/>
          </w:tcPr>
          <w:p>
            <w:pPr>
              <w:spacing w:after="40" w:before="40"/>
            </w:pPr>
            <w:r>
              <w:rPr>
                <w:rFonts w:ascii="Arial" w:hAnsi="Arial"/>
                <w:sz w:val="20"/>
              </w:rPr>
              <w:t>Re-reviewed after the ADR-0005 hosting-pivot email item: AzureCommunicationEmailSender replaced with SmtpEmailSender (MailKit-backed), invalidating the recorded hash because Vlms.Web/Program.cs changed. Read the actual diff, not assumed "just a wiring swap": the only change in Program.cs is the IEmailSender DI registration block (Azure EmailClient/AzureCommunicationEmailSender construction from CommunicationServices: config → SmtpEmailSender construction from Smtp: config) plus doc-comment text — zero AddAuthorization policy changes, zero new/changed routes, zero query-filter changes, zero resource-handler changes; confirmed via git diff before relying on that characterisation. Walked every item above against the current code regardless (not just trusting the diff read): role/policy list, Approver's lack of any sensitive-data path, resource-handler scoping, StudentGuardianLink creation sites, the HasQueryFilter/MfaRequirement/SystemCurrentUserContext predicates, and the .Select(...)-near-sensitive-entity grep are all unchanged from the prior review. No new gaps found beyond the already-tracked Row-Level-Security follow-up (STATE.md Next).</w:t>
            </w:r>
          </w:p>
        </w:tc>
      </w:tr>
      <w:tr>
        <w:tc>
          <w:tcPr>
            <w:tcW w:type="dxa" w:w="2125"/>
            <w:shd w:val="clear" w:color="auto" w:fill="F3F4F6"/>
          </w:tcPr>
          <w:p>
            <w:pPr>
              <w:spacing w:after="40" w:before="40"/>
            </w:pPr>
            <w:r>
              <w:rPr>
                <w:rFonts w:ascii="Arial" w:hAnsi="Arial"/>
                <w:sz w:val="20"/>
              </w:rPr>
              <w:t>Philip Luke Thomas</w:t>
            </w:r>
          </w:p>
        </w:tc>
        <w:tc>
          <w:tcPr>
            <w:tcW w:type="dxa" w:w="1327"/>
            <w:shd w:val="clear" w:color="auto" w:fill="F3F4F6"/>
          </w:tcPr>
          <w:p>
            <w:pPr>
              <w:spacing w:after="40" w:before="40"/>
            </w:pPr>
            <w:r>
              <w:rPr>
                <w:rFonts w:ascii="Arial" w:hAnsi="Arial"/>
                <w:sz w:val="20"/>
              </w:rPr>
              <w:t>2026-07-21</w:t>
            </w:r>
          </w:p>
        </w:tc>
        <w:tc>
          <w:tcPr>
            <w:tcW w:type="dxa" w:w="5574"/>
            <w:shd w:val="clear" w:color="auto" w:fill="F3F4F6"/>
          </w:tcPr>
          <w:p>
            <w:pPr>
              <w:spacing w:after="40" w:before="40"/>
            </w:pPr>
            <w:r>
              <w:rPr>
                <w:rFonts w:ascii="Arial" w:hAnsi="Arial"/>
                <w:sz w:val="20"/>
              </w:rPr>
              <w:t>Re-reviewed after the ADR-0005 hosting-pivot deployment-scripting item (deploy/systemd/vlms-web.service, deploy/Caddyfile, deploy/postgres/, deploy/backup/), invalidating the recorded hash because Vlms.Web/Program.cs changed — a genuine, checked-against-Microsoft's-current-documentation addition (learn.microsoft.com/aspnet/core/host-and-deploy/proxy-load-balancer), not a no-op refresh: app.UseForwardedHeaders(new ForwardedHeadersOptions { ForwardedHeaders = ForwardedHeaders.XForwardedFor</w:t>
            </w:r>
          </w:p>
        </w:tc>
      </w:tr>
      <w:tr>
        <w:tc>
          <w:tcPr>
            <w:tcW w:type="dxa" w:w="2125"/>
            <w:shd w:val="clear" w:color="auto" w:fill="FFFFFF"/>
          </w:tcPr>
          <w:p>
            <w:pPr>
              <w:spacing w:after="40" w:before="40"/>
            </w:pPr>
            <w:r>
              <w:rPr>
                <w:rFonts w:ascii="Arial" w:hAnsi="Arial"/>
                <w:sz w:val="20"/>
              </w:rPr>
              <w:t>Philip Luke Thomas</w:t>
            </w:r>
          </w:p>
        </w:tc>
        <w:tc>
          <w:tcPr>
            <w:tcW w:type="dxa" w:w="1327"/>
            <w:shd w:val="clear" w:color="auto" w:fill="FFFFFF"/>
          </w:tcPr>
          <w:p>
            <w:pPr>
              <w:spacing w:after="40" w:before="40"/>
            </w:pPr>
            <w:r>
              <w:rPr>
                <w:rFonts w:ascii="Arial" w:hAnsi="Arial"/>
                <w:sz w:val="20"/>
              </w:rPr>
              <w:t>2026-07-21</w:t>
            </w:r>
          </w:p>
        </w:tc>
        <w:tc>
          <w:tcPr>
            <w:tcW w:type="dxa" w:w="5574"/>
            <w:shd w:val="clear" w:color="auto" w:fill="FFFFFF"/>
          </w:tcPr>
          <w:p>
            <w:pPr>
              <w:spacing w:after="40" w:before="40"/>
            </w:pPr>
            <w:r>
              <w:rPr>
                <w:rFonts w:ascii="Arial" w:hAnsi="Arial"/>
                <w:sz w:val="20"/>
              </w:rPr>
              <w:t>Cumulative audit pass, not triggered by a hash mismatch (build/verify.ps1's currency gate reported this checklist current before this review — no hashed file had changed since the previous row). Every prior review above checked only the diff since the last one; this pass instead re-read every bullet against the current, cumulative state of the code after all six ADR-0005 hosting-pivot items, since six individually-correct incremental reviews composing into a correct whole is an assumption, not a given. Re-verified directly against the current source (not the prior reviews' own summaries): Program.cs's six Require{Role} policies plus StudentAccess/RequireAdminOrTeacher/RequireAdminOrSafeguardingOfficer each still carry new MfaRequirement(); VlmsDbContext.OnModelCreating's two HasQueryFilter predicates on DbsCheck/ConsentSensitiveDetails are still byte-for-byte (HasRole(Admin)</w:t>
            </w:r>
          </w:p>
        </w:tc>
      </w:tr>
      <w:tr>
        <w:tc>
          <w:tcPr>
            <w:tcW w:type="dxa" w:w="2125"/>
            <w:shd w:val="clear" w:color="auto" w:fill="F3F4F6"/>
          </w:tcPr>
          <w:p>
            <w:pPr>
              <w:spacing w:after="40" w:before="40"/>
            </w:pPr>
            <w:r>
              <w:rPr>
                <w:rFonts w:ascii="Arial" w:hAnsi="Arial"/>
                <w:sz w:val="20"/>
              </w:rPr>
              <w:t>Philip Luke Thomas</w:t>
            </w:r>
          </w:p>
        </w:tc>
        <w:tc>
          <w:tcPr>
            <w:tcW w:type="dxa" w:w="1327"/>
            <w:shd w:val="clear" w:color="auto" w:fill="F3F4F6"/>
          </w:tcPr>
          <w:p>
            <w:pPr>
              <w:spacing w:after="40" w:before="40"/>
            </w:pPr>
            <w:r>
              <w:rPr>
                <w:rFonts w:ascii="Arial" w:hAnsi="Arial"/>
                <w:sz w:val="20"/>
              </w:rPr>
              <w:t>2026-07-22</w:t>
            </w:r>
          </w:p>
        </w:tc>
        <w:tc>
          <w:tcPr>
            <w:tcW w:type="dxa" w:w="5574"/>
            <w:shd w:val="clear" w:color="auto" w:fill="F3F4F6"/>
          </w:tcPr>
          <w:p>
            <w:pPr>
              <w:spacing w:after="40" w:before="40"/>
            </w:pPr>
            <w:r>
              <w:rPr>
                <w:rFonts w:ascii="Arial" w:hAnsi="Arial"/>
                <w:sz w:val="20"/>
              </w:rPr>
              <w:t>Re-reviewed after the Teacher-facing completion-reversal item (STATE.md), which invalidated the recorded hash on two counts: a new routable page (Progress/CompletionReversals.razor) and a Program.cs change. Read the actual diff first, not assumed: Program.cs's only change is a new DI-registration block (IBlobStorage→LocalDiskBlobStorage, PromotionService, CertificateService, CompletionService, plus two usings) — zero AddAuthorization/policy/query-filter/resource-handler changes, confirmed via git diff. The new page carries @attribute [Authorize(Policy = "RequireTeacher")] (not on the allow-list, doesn't need to be) and is additionally role-checked inside CompletionService.ReverseAsync itself — defense in depth, the same pattern this checklist already tracks for every other service. It touches none of DbsCheck/ConsentSensitiveDetails/ConsentRecord/StudentGuardianLink — only StudentLessonCompletion, which is not a sensitive entity — so no new query-filter/audit-log surface is introduced; it does add a new defense-in-depth scoping rule of its own (a Teacher may only reverse a completion where CompletedByUserId matches their own resolved UserId — enforced in the service, not just implied by the page listing only the caller's own completions), noted here as the kind of "new resource-type scoping" item #3 above asks to be checked for. Walked every other item above against the current code regardless: role/policy list, Approver's lack of any sensitive-data path, resource-handler scoping, StudentGuardianLink creation sites, MfaRequirement coverage, the HasQueryFilter/SystemCurrentUserContext predicates, and the .Select(...)-near-sensitive-entity grep are all unchanged from the prior review. No new gaps found beyond the already-tracked Row-Level-Security follow-up.</w:t>
            </w:r>
          </w:p>
        </w:tc>
      </w:tr>
      <w:tr>
        <w:tc>
          <w:tcPr>
            <w:tcW w:type="dxa" w:w="2125"/>
            <w:shd w:val="clear" w:color="auto" w:fill="FFFFFF"/>
          </w:tcPr>
          <w:p>
            <w:pPr>
              <w:spacing w:after="40" w:before="40"/>
            </w:pPr>
            <w:r>
              <w:rPr>
                <w:rFonts w:ascii="Arial" w:hAnsi="Arial"/>
                <w:sz w:val="20"/>
              </w:rPr>
              <w:t>Philip Luke Thomas</w:t>
            </w:r>
          </w:p>
        </w:tc>
        <w:tc>
          <w:tcPr>
            <w:tcW w:type="dxa" w:w="1327"/>
            <w:shd w:val="clear" w:color="auto" w:fill="FFFFFF"/>
          </w:tcPr>
          <w:p>
            <w:pPr>
              <w:spacing w:after="40" w:before="40"/>
            </w:pPr>
            <w:r>
              <w:rPr>
                <w:rFonts w:ascii="Arial" w:hAnsi="Arial"/>
                <w:sz w:val="20"/>
              </w:rPr>
              <w:t>2026-08-05</w:t>
            </w:r>
          </w:p>
        </w:tc>
        <w:tc>
          <w:tcPr>
            <w:tcW w:type="dxa" w:w="5574"/>
            <w:shd w:val="clear" w:color="auto" w:fill="FFFFFF"/>
          </w:tcPr>
          <w:p>
            <w:pPr>
              <w:spacing w:after="40" w:before="40"/>
            </w:pPr>
            <w:r>
              <w:rPr>
                <w:rFonts w:ascii="Arial" w:hAnsi="Arial"/>
                <w:sz w:val="20"/>
              </w:rPr>
              <w:t>Re-reviewed after the "records due for deletion" report item (STATE.md, data-design.md "Deletion enforcement — interim decision"), which invalidated the recorded hash on two counts: a new routable page (Reporting/RecordsDueForDeletion.razor) and a Program.cs change. Read the actual diff first: Program.cs's only change is a new one-line DI registration (RecordsDueForDeletionService) plus a comment block — zero AddAuthorization/policy/query-filter/resource-handler changes, confirmed via git diff. The new page carries @attribute [Authorize(Policy = "RequireAdmin")] (reuses the existing policy — not on the allow-list, doesn't need to be) and RecordsDueForDeletionService is additionally role-checked inside itself (RequireAdmin, defense in depth, same pattern as ProgressReportingService). It does touch DbsCheck — a new read path added since the last review — so the V16 item (.Select(...)-near-sensitive-entity) needed a genuine check, not just a re-hash: the new RetentionFlagging.GetDbsChecksDueForDeletionAsync materializes real DbsCheck entities via .ToListAsync() before any .Select(...) projection runs (in-memory, on the already-materialized List&lt;DbsCheck&gt;), exactly the pattern ConsentExpiryJob.SweepDbsAsync established after the d23f6e4 fix — confirmed by reading the method, and by a new discriminating test (RecordsDueForDeletionServiceTests.GetReportAsync_ReadingDbsChecks_WritesOneSensitiveDataAccessLogEntryPerRowRead, plus ConsentExpiryJobTests.RunAsync_SweepingRetentionDbsChecks_WritesSensitiveDataAccessLogEntry_ForANonClearCheck which specifically uses a Flagged-status check SweepDbsAsync's own Clear-only sweep would never read, isolating that the retention sweep's own materialization is what triggers the audit row) that both pass. No IgnoreQueryFilters() call was added — DbsCheck is read through the ordinary VlmsDbContext.DbsChecks DbSet, so the existing query filter ((HasRole(Admin) || HasRole(SafeguardingOfficer)) &amp;&amp; HasMfaEnabled) still applies unchanged; RecordsDueForDeletionService's own Admin-only page-level gate is narrower than, and fully inside, what that filter already permits (documented in the service's own doc comment). Student is not access-restricted, so its new read path needed no query-filter check. Walked every other item above against the current code regardless: role/policy list, Approver's lack of any sensitive-data path, resource-handler scoping, StudentGuardianLink creation sites, MfaRequirement coverage, and the HasQueryFilter/SystemCurrentUserContext predicates are all unchanged from the prior review. No new gaps found beyond the already-tracked Row-Level-Security follow-up.</w:t>
            </w:r>
          </w:p>
        </w:tc>
      </w:tr>
      <w:tr>
        <w:tc>
          <w:tcPr>
            <w:tcW w:type="dxa" w:w="2125"/>
            <w:shd w:val="clear" w:color="auto" w:fill="F3F4F6"/>
          </w:tcPr>
          <w:p>
            <w:pPr>
              <w:spacing w:after="40" w:before="40"/>
            </w:pPr>
            <w:r>
              <w:rPr>
                <w:rFonts w:ascii="Arial" w:hAnsi="Arial"/>
                <w:sz w:val="20"/>
              </w:rPr>
              <w:t>Philip Luke Thomas</w:t>
            </w:r>
          </w:p>
        </w:tc>
        <w:tc>
          <w:tcPr>
            <w:tcW w:type="dxa" w:w="1327"/>
            <w:shd w:val="clear" w:color="auto" w:fill="F3F4F6"/>
          </w:tcPr>
          <w:p>
            <w:pPr>
              <w:spacing w:after="40" w:before="40"/>
            </w:pPr>
            <w:r>
              <w:rPr>
                <w:rFonts w:ascii="Arial" w:hAnsi="Arial"/>
                <w:sz w:val="20"/>
              </w:rPr>
              <w:t>2026-08-11</w:t>
            </w:r>
          </w:p>
        </w:tc>
        <w:tc>
          <w:tcPr>
            <w:tcW w:type="dxa" w:w="5574"/>
            <w:shd w:val="clear" w:color="auto" w:fill="F3F4F6"/>
          </w:tcPr>
          <w:p>
            <w:pPr>
              <w:spacing w:after="40" w:before="40"/>
            </w:pPr>
            <w:r>
              <w:rPr>
                <w:rFonts w:ascii="Arial" w:hAnsi="Arial"/>
                <w:sz w:val="20"/>
              </w:rPr>
              <w:t>Re-reviewed after the WCAG "Status messages (4.1.3)" gap item (STATE.md) invalidated the recorded hash — it touched eight .razor files (Curriculum/TeacherProposals.razor, Curriculum/ApproverProposals.razor, Guardianship/GuardianLinks.razor, Registration/RegisterStudent.razor, Safeguarding/ConsentRecords.razor, Safeguarding/DbsChecks.razor, Progress/CompletionReversals.razor) that are all in $pageFiles, part of this checklist's own hashed set, even though the change is UI-only. Read the actual diff first, not assumed benign from the description: every change is additive markup (a &lt;p role="status"&gt;@_statusMessage&lt;/p&gt; element) plus a private string? _statusMessage; field and assignments to it in existing success branches of existing methods — confirmed via git diff that no file's @attribute [Authorize(...)] line changed, no EditForm/OnValidSubmit wiring changed, no call into ConsentRecordService/DbsCheckService/GuardianLinkService/LessonProposalService/CompletionService/RegistrationService was added, removed, or reordered relative to its existing role check, and Program.cs was not touched at all (no DI/policy changes this item, unlike several prior reviews above). None of the eight pages are on the allow-list and none needed to be — all eight already carried an appropriate [Authorize(Policy = ...)] before this change and still do. Walked every item above against the current code regardless, not just trusted the "UI-only" framing: role/policy list, Approver's lack of any sensitive-data path, resource-handler scoping, StudentGuardianLink creation sites (still only GuardianLinkService/StudentRegistrationService — GuardianLinks.razor's own edit only added a status message inside its existing SubmitAsync, not a new call site), MfaRequirement coverage, the HasQueryFilter/SystemCurrentUserContext predicates, and the .Select(...)-near-sensitive-entity grep (unaffected — ConsentRecords.razor/DbsChecks.razor's own reads of ConsentSensitiveDetails/DbsCheck are unchanged; only their success-path status-message assignment changed) are all unchanged from the prior review. No new gaps found beyond the already-tracked Row-Level-Security follow-up.</w:t>
            </w:r>
          </w:p>
        </w:tc>
      </w:tr>
    </w:tbl>
    <w:p>
      <w:pPr>
        <w:spacing w:after="80"/>
      </w:pP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4032"/>
            <w:shd w:val="clear" w:color="auto" w:fill="374151"/>
          </w:tcPr>
          <w:p>
            <w:pPr>
              <w:spacing w:after="40" w:before="40"/>
            </w:pPr>
            <w:r>
              <w:rPr>
                <w:rFonts w:ascii="Arial" w:hAnsi="Arial"/>
                <w:b/>
                <w:color w:val="FFFFFF"/>
                <w:sz w:val="20"/>
              </w:rPr>
              <w:t>Philip Luke Thomas</w:t>
            </w:r>
          </w:p>
        </w:tc>
        <w:tc>
          <w:tcPr>
            <w:tcW w:type="dxa" w:w="960"/>
            <w:shd w:val="clear" w:color="auto" w:fill="374151"/>
          </w:tcPr>
          <w:p>
            <w:pPr>
              <w:spacing w:after="40" w:before="40"/>
            </w:pPr>
            <w:r>
              <w:rPr>
                <w:rFonts w:ascii="Arial" w:hAnsi="Arial"/>
                <w:b/>
                <w:color w:val="FFFFFF"/>
                <w:sz w:val="20"/>
              </w:rPr>
              <w:t>2026-08-12</w:t>
            </w:r>
          </w:p>
        </w:tc>
        <w:tc>
          <w:tcPr>
            <w:tcW w:type="dxa" w:w="4034"/>
            <w:shd w:val="clear" w:color="auto" w:fill="374151"/>
          </w:tcPr>
          <w:p>
            <w:pPr>
              <w:spacing w:after="40" w:before="40"/>
            </w:pPr>
            <w:r>
              <w:rPr>
                <w:rFonts w:ascii="Arial" w:hAnsi="Arial"/>
                <w:b/>
                <w:color w:val="FFFFFF"/>
                <w:sz w:val="20"/>
              </w:rPr>
              <w:t>Re-reviewed after the WCAG "Error identification (3.3.1) / suggestion (3.3.3)" checklist review (STATE.md), which invalidated the recorded hash — it touched eight .razor files (Curriculum/TeacherProposals.razor, Guardianship/GuardianLinks.razor, Progress/CompletionReversals.razor, Registration/RegisterStudent.razor, Safeguarding/DbsChecks.razor, Safeguarding/ConsentRecords.razor, Layout/MainLayout.razor, Layout/ReconnectModal.razor), all in $pageFiles, this checklist's own hashed set, even though every change is a pure accessibility markup fix with no access-control content. Read the actual diff first, not assumed benign from the description: six pages gained role="alert" on an existing bare &lt;ValidationSummary /&gt; element (no attribute other than role added — AdditionalAttributes passthrough, confirmed by reading Microsoft.AspNetCore.Components.Forms.ValidationSummary's actual source); MainLayout.razor gained role="alert" on the existing #blazor-error-ui div (no element added/removed); ReconnectModal.razor gained role="alert" on its two existing failure-state &lt;p&gt; elements. Confirmed via git diff that no file's @attribute [Authorize(...)] line changed (MainLayout.razor/ReconnectModal.razor were never routable @pages and still aren't), no EditForm/OnValidSubmit wiring changed, no call into ConsentRecordService/DbsCheckService/GuardianLinkService/LessonProposalService/CompletionService was added, removed, or reordered relative to its existing role check, and Program.cs was not touched at all this item (no DI/policy changes). None of the eight files are on the allow-list and none needed to be. A new test file, tests/Vlms.Tests/Web/ErrorIdentificationAccessibilityTests.cs, is not in $pageFiles/$hashedFiles (tests aren't hashed by this gate) and needed no review here. Walked every item above against the current code regardless: role/policy list, Approver's lack of any sensitive-data path, resource-handler scoping, StudentGuardianLink creation sites, MfaRequirement coverage, the HasQueryFilter/SystemCurrentUserContext predicates, and the .Select(...)-near-sensitive-entity grep are all unchanged from the prior review. No new gaps found beyond the already-tracked Row-Level-Security follow-up.</w:t>
            </w:r>
          </w:p>
        </w:tc>
      </w:tr>
      <w:tr>
        <w:tc>
          <w:tcPr>
            <w:tcW w:type="dxa" w:w="4032"/>
            <w:shd w:val="clear" w:color="auto" w:fill="F3F4F6"/>
          </w:tcPr>
          <w:p>
            <w:pPr>
              <w:spacing w:after="40" w:before="40"/>
            </w:pPr>
            <w:r>
              <w:rPr>
                <w:rFonts w:ascii="Arial" w:hAnsi="Arial"/>
                <w:sz w:val="20"/>
              </w:rPr>
              <w:t>Claude (Opus, /work-next session) — awaiting Philip's countersign</w:t>
            </w:r>
          </w:p>
        </w:tc>
        <w:tc>
          <w:tcPr>
            <w:tcW w:type="dxa" w:w="960"/>
            <w:shd w:val="clear" w:color="auto" w:fill="F3F4F6"/>
          </w:tcPr>
          <w:p>
            <w:pPr>
              <w:spacing w:after="40" w:before="40"/>
            </w:pPr>
            <w:r>
              <w:rPr>
                <w:rFonts w:ascii="Arial" w:hAnsi="Arial"/>
                <w:sz w:val="20"/>
              </w:rPr>
              <w:t>2026-10-12</w:t>
            </w:r>
          </w:p>
        </w:tc>
        <w:tc>
          <w:tcPr>
            <w:tcW w:type="dxa" w:w="4034"/>
            <w:shd w:val="clear" w:color="auto" w:fill="F3F4F6"/>
          </w:tcPr>
          <w:p>
            <w:pPr>
              <w:spacing w:after="40" w:before="40"/>
            </w:pPr>
            <w:r>
              <w:rPr>
                <w:rFonts w:ascii="Arial" w:hAnsi="Arial"/>
                <w:sz w:val="20"/>
              </w:rPr>
              <w:t>Re-reviewed after the "Waiting-for-approval list on the role-assignment page" item (STATE.md), which invalidated the recorded hash: Identity/RoleAssignmentService.cs and Administration/UserRoles.razor changed; Program.cs did not. Read the diff: two new service methods, both Admin-checked inside the service. ListAwaitingApprovalAsync reads AppUsers/UserRoles/GuardianInvites/StudentGuardianLinks/student names only — no DbsCheck/ConsentSensitiveDetails/SensitiveDataAccessLog access, no IgnoreQueryFilters. ApproveGuardianAsParentAsync is a narrower GrantAsync (Parent only, invite-consumed accounts only), so it adds no new privilege path; it implements Philip's FR-004 decision that an Admin approves every guardian. Page gating unchanged (RequireAdmin). Updated the V8 role-assignment item; raised the RoleAssignmentServiceTests floor to 17. Break test: removing the invite-origin check failed ApproveGuardianAsParentAsync_SelfRegisteredAccount_Throws_AndGrantsNothing; restored.</w:t>
            </w:r>
          </w:p>
        </w:tc>
      </w:tr>
      <w:tr>
        <w:tc>
          <w:tcPr>
            <w:tcW w:type="dxa" w:w="4032"/>
            <w:shd w:val="clear" w:color="auto" w:fill="FFFFFF"/>
          </w:tcPr>
          <w:p>
            <w:pPr>
              <w:spacing w:after="40" w:before="40"/>
            </w:pPr>
            <w:r>
              <w:rPr>
                <w:rFonts w:ascii="Arial" w:hAnsi="Arial"/>
                <w:sz w:val="20"/>
              </w:rPr>
              <w:t>Claude (Opus, /work-next session) — awaiting Philip's countersign</w:t>
            </w:r>
          </w:p>
        </w:tc>
        <w:tc>
          <w:tcPr>
            <w:tcW w:type="dxa" w:w="960"/>
            <w:shd w:val="clear" w:color="auto" w:fill="FFFFFF"/>
          </w:tcPr>
          <w:p>
            <w:pPr>
              <w:spacing w:after="40" w:before="40"/>
            </w:pPr>
            <w:r>
              <w:rPr>
                <w:rFonts w:ascii="Arial" w:hAnsi="Arial"/>
                <w:sz w:val="20"/>
              </w:rPr>
              <w:t>2026-10-12</w:t>
            </w:r>
          </w:p>
        </w:tc>
        <w:tc>
          <w:tcPr>
            <w:tcW w:type="dxa" w:w="4034"/>
            <w:shd w:val="clear" w:color="auto" w:fill="FFFFFF"/>
          </w:tcPr>
          <w:p>
            <w:pPr>
              <w:spacing w:after="40" w:before="40"/>
            </w:pPr>
            <w:r>
              <w:rPr>
                <w:rFonts w:ascii="Arial" w:hAnsi="Arial"/>
                <w:sz w:val="20"/>
              </w:rPr>
              <w:t>Re-reviewed after the "Persist DataProtection keys" item (STATE.md), which invalidated the recorded hash: Program.cs changed. Read the diff: the bare AddDataProtection() call became AddVlmsDataProtection(...) (new Security/VlmsDataProtection.cs: fixed application name, key ring persisted to DataProtection:KeysPath, required in Production) plus comment text — no AddAuthorization policy, handler, route, query-filter or role logic changed. Security effect is on session continuity, not authorization: auth cookies and invite tokens now survive restarts instead of being invalidated; the key directory is 0700 and owned by vlms (systemd StateDirectory), keys unencrypted at rest as on the framework's Linux default. Walked the items above: role/policy list, MfaRequirement coverage, Approver's lack of any sensitive-data path, resource-handler scoping, StudentGuardianLink creation sites and the HasQueryFilter predicates are unchanged. No new gaps.</w:t>
            </w:r>
          </w:p>
        </w:tc>
      </w:tr>
      <w:tr>
        <w:tc>
          <w:tcPr>
            <w:tcW w:type="dxa" w:w="4032"/>
            <w:shd w:val="clear" w:color="auto" w:fill="F3F4F6"/>
          </w:tcPr>
          <w:p>
            <w:pPr>
              <w:spacing w:after="40" w:before="40"/>
            </w:pPr>
            <w:r>
              <w:rPr>
                <w:rFonts w:ascii="Arial" w:hAnsi="Arial"/>
                <w:sz w:val="20"/>
              </w:rPr>
              <w:t>Claude (Opus, /work-next session) — awaiting Philip's countersign</w:t>
            </w:r>
          </w:p>
        </w:tc>
        <w:tc>
          <w:tcPr>
            <w:tcW w:type="dxa" w:w="960"/>
            <w:shd w:val="clear" w:color="auto" w:fill="F3F4F6"/>
          </w:tcPr>
          <w:p>
            <w:pPr>
              <w:spacing w:after="40" w:before="40"/>
            </w:pPr>
            <w:r>
              <w:rPr>
                <w:rFonts w:ascii="Arial" w:hAnsi="Arial"/>
                <w:sz w:val="20"/>
              </w:rPr>
              <w:t>2026-10-12</w:t>
            </w:r>
          </w:p>
        </w:tc>
        <w:tc>
          <w:tcPr>
            <w:tcW w:type="dxa" w:w="4034"/>
            <w:shd w:val="clear" w:color="auto" w:fill="F3F4F6"/>
          </w:tcPr>
          <w:p>
            <w:pPr>
              <w:spacing w:after="40" w:before="40"/>
            </w:pPr>
            <w:r>
              <w:rPr>
                <w:rFonts w:ascii="Arial" w:hAnsi="Arial"/>
                <w:sz w:val="20"/>
              </w:rPr>
              <w:t>Re-reviewed after the "Password reset + Identity hardening" item (STATE.md), which invalidated the recorded hash: Program.cs, FirstAdminBootstrapService.cs, Login.razor/Register.razor, four new anonymous pages, and two newly hashed files (AccountEmailService.cs, VlmsIdentityPolicy.cs). Read the diff: Program.cs now applies VlmsIdentityPolicy (confirmed email required, lockout 5 attempts / 15 minutes) and a 2-hour email-link lifetime and registers AccountEmailService — no AddAuthorization policy, handler or query-filter change. The four new pages are anonymous by necessity and were checked individually: none reads or writes role, sensitive or student data; reset and confirm act only on Identity's single-use, expiring codes; request pages answer identically for unknown emails; a reset is sent only to a confirmed address. Register.razor no longer signs the user in. Privilege review: no path grants a role; MFA is still required at sign-in for users who enrolled it, and every RequireX policy still carries MfaRequirement. Strengthening: the bootstrap now refuses unconfirmed accounts. Added the account-recovery V8 item, a floor of 9 for AccountEmailServiceTests and raised FirstAdminBootstrapServiceTests to 6. Break test: dropping the confirmed-address check before sending a reset failed RequestPasswordResetAsync_UnconfirmedAccount_SendsNothing; restored.</w:t>
            </w:r>
          </w:p>
        </w:tc>
      </w:tr>
      <w:tr>
        <w:tc>
          <w:tcPr>
            <w:tcW w:type="dxa" w:w="4032"/>
            <w:shd w:val="clear" w:color="auto" w:fill="FFFFFF"/>
          </w:tcPr>
          <w:p>
            <w:pPr>
              <w:spacing w:after="40" w:before="40"/>
            </w:pPr>
            <w:r>
              <w:rPr>
                <w:rFonts w:ascii="Arial" w:hAnsi="Arial"/>
                <w:sz w:val="20"/>
              </w:rPr>
              <w:t>Claude (Opus, /work-next session) — awaiting Philip's countersign</w:t>
            </w:r>
          </w:p>
        </w:tc>
        <w:tc>
          <w:tcPr>
            <w:tcW w:type="dxa" w:w="960"/>
            <w:shd w:val="clear" w:color="auto" w:fill="FFFFFF"/>
          </w:tcPr>
          <w:p>
            <w:pPr>
              <w:spacing w:after="40" w:before="40"/>
            </w:pPr>
            <w:r>
              <w:rPr>
                <w:rFonts w:ascii="Arial" w:hAnsi="Arial"/>
                <w:sz w:val="20"/>
              </w:rPr>
              <w:t>2026-10-12</w:t>
            </w:r>
          </w:p>
        </w:tc>
        <w:tc>
          <w:tcPr>
            <w:tcW w:type="dxa" w:w="4034"/>
            <w:shd w:val="clear" w:color="auto" w:fill="FFFFFF"/>
          </w:tcPr>
          <w:p>
            <w:pPr>
              <w:spacing w:after="40" w:before="40"/>
            </w:pPr>
            <w:r>
              <w:rPr>
                <w:rFonts w:ascii="Arial" w:hAnsi="Arial"/>
                <w:sz w:val="20"/>
              </w:rPr>
              <w:t>Re-reviewed after the "Production web hardening" item (STATE.md), which invalidated the recorded hash: Program.cs and the eight anonymous account-form pages changed. Read the diff: Program.cs adds AddVlmsWebHardening (Production fails to start unless AllowedHosts names real hosts; HSTS max-age 365 days) and app.UseRateLimiter() after UseForwardedHeaders; each of Login, LoginWith2fa, LoginWithRecoveryCode, Register, ForgotPassword, ResetPassword, ResendEmailConfirmation and AcceptInvite gains one [EnableRateLimiting(WebHardening.AccountFormsPolicy)] attribute (POSTs limited per client IP and page, default 20/minute). No [Authorize] attribute, AddAuthorization policy, handler, query filter or service call changed; the allow-list is unchanged. Effect on access control: additive throttling in front of the unauthenticated surface only. Tests: WebHardeningTests (in-memory test server). Break test: limiting GETs as well failed AccountForms_PageLoads_AreNotLimited; restored.</w:t>
            </w:r>
          </w:p>
        </w:tc>
      </w:tr>
      <w:tr>
        <w:tc>
          <w:tcPr>
            <w:tcW w:type="dxa" w:w="4032"/>
            <w:shd w:val="clear" w:color="auto" w:fill="F3F4F6"/>
          </w:tcPr>
          <w:p>
            <w:pPr>
              <w:spacing w:after="40" w:before="40"/>
            </w:pPr>
            <w:r>
              <w:rPr>
                <w:rFonts w:ascii="Arial" w:hAnsi="Arial"/>
                <w:sz w:val="20"/>
              </w:rPr>
              <w:t>Claude (Opus, /work-next session) — awaiting Philip's countersign</w:t>
            </w:r>
          </w:p>
        </w:tc>
        <w:tc>
          <w:tcPr>
            <w:tcW w:type="dxa" w:w="960"/>
            <w:shd w:val="clear" w:color="auto" w:fill="F3F4F6"/>
          </w:tcPr>
          <w:p>
            <w:pPr>
              <w:spacing w:after="40" w:before="40"/>
            </w:pPr>
            <w:r>
              <w:rPr>
                <w:rFonts w:ascii="Arial" w:hAnsi="Arial"/>
                <w:sz w:val="20"/>
              </w:rPr>
              <w:t>2026-10-12</w:t>
            </w:r>
          </w:p>
        </w:tc>
        <w:tc>
          <w:tcPr>
            <w:tcW w:type="dxa" w:w="4034"/>
            <w:shd w:val="clear" w:color="auto" w:fill="F3F4F6"/>
          </w:tcPr>
          <w:p>
            <w:pPr>
              <w:spacing w:after="40" w:before="40"/>
            </w:pPr>
            <w:r>
              <w:rPr>
                <w:rFonts w:ascii="Arial" w:hAnsi="Arial"/>
                <w:sz w:val="20"/>
              </w:rPr>
              <w:t>Re-reviewed after the "Send email via Microsoft Graph" item (STATE.md), which invalidated the recorded hash: Program.cs changed. Read the diff: the IEmailSender registration now builds GraphEmailSender from the GraphMail section instead of SmtpEmailSender from Smtp, plus comment text — no AddAuthorization policy, handler, route, query filter or role logic changed. New external privilege, reviewed: the Entra app holds no tenant-wide Graph permission; Exchange RBAC for Applications scopes Application Mail.Send to noreply@varangians.co.uk only, confirmed by Test-ServicePrincipalAuthorization (in scope for that mailbox, out of scope for another) on 12/10/2026. Its client secret is only ever in the server's environment files; the secret scan regained Entra client-secret patterns (value shape and config key), checked against a planted fake. No new gaps.</w:t>
            </w:r>
          </w:p>
        </w:tc>
      </w:tr>
    </w:tbl>
    <w:p>
      <w:pPr>
        <w:spacing w:after="80"/>
      </w:pPr>
    </w:p>
    <w:p>
      <w:pPr>
        <w:spacing w:after="80"/>
      </w:pPr>
      <w:r>
        <w:rPr>
          <w:rFonts w:ascii="Arial" w:hAnsi="Arial"/>
          <w:sz w:val="22"/>
        </w:rPr>
        <w:t>Reviewed-hash: 9bf4311b9a1624eb782c23711edafa0556c71db10239ba1cf33ee526c6c0b58a</w:t>
      </w:r>
    </w:p>
    <w:p>
      <w:pPr>
        <w:keepNext/>
        <w:spacing w:before="280" w:after="120"/>
        <w:outlineLvl w:val="0"/>
      </w:pPr>
      <w:r>
        <w:rPr>
          <w:rFonts w:ascii="Arial" w:hAnsi="Arial"/>
          <w:b/>
          <w:color w:val="111827"/>
          <w:sz w:val="32"/>
        </w:rPr>
        <w:t>Assumptions</w:t>
      </w:r>
    </w:p>
    <w:p>
      <w:pPr>
        <w:spacing w:after="120" w:before="0"/>
      </w:pPr>
      <w:r>
        <w:rPr>
          <w:rFonts w:ascii="Arial" w:hAnsi="Arial"/>
          <w:b w:val="0"/>
          <w:i w:val="0"/>
          <w:sz w:val="22"/>
        </w:rPr>
        <w:t>Assumptions are tracked as A-nnn entries in the RAID log (VLMS-RAID / docs/governance/raid.md). Source-specific assumptions are stated in the sections above.</w:t>
      </w:r>
    </w:p>
    <w:p>
      <w:pPr>
        <w:keepNext/>
        <w:spacing w:before="280" w:after="120"/>
        <w:outlineLvl w:val="0"/>
      </w:pPr>
      <w:r>
        <w:rPr>
          <w:rFonts w:ascii="Arial" w:hAnsi="Arial"/>
          <w:b/>
          <w:color w:val="111827"/>
          <w:sz w:val="32"/>
        </w:rPr>
        <w:t>Open Questions and [TBC] Gaps</w:t>
      </w:r>
    </w:p>
    <w:p>
      <w:pPr>
        <w:spacing w:after="120" w:before="0"/>
      </w:pPr>
      <w:r>
        <w:rPr>
          <w:rFonts w:ascii="Arial" w:hAnsi="Arial"/>
          <w:b w:val="0"/>
          <w:i w:val="0"/>
          <w:sz w:val="20"/>
        </w:rPr>
        <w:t>Items below are carried from the source markdown (the containing line or table cell).</w:t>
      </w:r>
    </w:p>
    <w:p>
      <w:pPr>
        <w:pStyle w:val="ListBullet"/>
        <w:spacing w:after="60"/>
      </w:pPr>
      <w:r>
        <w:rPr>
          <w:rFonts w:ascii="Arial" w:hAnsi="Arial"/>
          <w:sz w:val="22"/>
        </w:rPr>
        <w:t>Status: draft for Philip's review, written 13/10/2026 to discharge governance/raid.md D-003 (owner: Philip, due before go-live). Structure follows the ICO's DPIA steps (ICO: Data protection impact assessments (https://ico.org.uk/for-organisations/uk-gdpr-guidance-and-resources/accountability-and-governance/data-protection-impact-assessments-dpias/)). This draft states what the system does and w...</w:t>
      </w:r>
    </w:p>
    <w:p>
      <w:pPr>
        <w:pStyle w:val="ListBullet"/>
        <w:spacing w:after="60"/>
      </w:pPr>
      <w:r>
        <w:rPr>
          <w:rFonts w:ascii="Arial" w:hAnsi="Arial"/>
          <w:sz w:val="22"/>
        </w:rPr>
        <w:t>The processing is small in scale (tens of people per role) and is not profiling, marketing or a service offered to children online. Several criteria still apply together, and a breach could cause physical or safeguarding harm (e.g. a child's medical needs or a volunteer's DBS status exposed). Screening outcome (proposed): carry out a full DPIA. This document is that DPIA. [TBC – Philip: confirm]</w:t>
      </w:r>
    </w:p>
    <w:p>
      <w:pPr>
        <w:pStyle w:val="ListBullet"/>
        <w:spacing w:after="60"/>
      </w:pPr>
      <w:r>
        <w:rPr>
          <w:rFonts w:ascii="Arial" w:hAnsi="Arial"/>
          <w:sz w:val="22"/>
        </w:rPr>
        <w:t>Controller: [TBC – Philip: Shrewsbury Orthodox Church, or its trustees/parish council as the legal entity]. Varangians is the church's youth club.</w:t>
      </w:r>
    </w:p>
    <w:p>
      <w:pPr>
        <w:pStyle w:val="ListBullet"/>
        <w:spacing w:after="60"/>
      </w:pPr>
      <w:r>
        <w:rPr>
          <w:rFonts w:ascii="Arial" w:hAnsi="Arial"/>
          <w:sz w:val="22"/>
        </w:rPr>
        <w:t>Not collected: religion is not recorded as a field, although membership of a church youth club may itself reveal religious belief. [TBC – Philip: whether to treat membership as special category data]. No photos are stored. No DBS certificate images are stored, only the certificate number and dates.</w:t>
      </w:r>
    </w:p>
    <w:p>
      <w:pPr>
        <w:pStyle w:val="ListBullet"/>
        <w:spacing w:after="60"/>
      </w:pPr>
      <w:r>
        <w:rPr>
          <w:rFonts w:ascii="Arial" w:hAnsi="Arial"/>
          <w:sz w:val="22"/>
        </w:rPr>
        <w:t>[TBC – Philip: R2 location hint / jurisdiction]</w:t>
      </w:r>
    </w:p>
    <w:p>
      <w:pPr>
        <w:pStyle w:val="ListBullet"/>
        <w:spacing w:after="60"/>
      </w:pPr>
      <w:r>
        <w:rPr>
          <w:rFonts w:ascii="Arial" w:hAnsi="Arial"/>
          <w:sz w:val="22"/>
        </w:rPr>
        <w:t>[TBC – Philip: tenant data location]</w:t>
      </w:r>
    </w:p>
    <w:p>
      <w:pPr>
        <w:pStyle w:val="ListBullet"/>
        <w:spacing w:after="60"/>
      </w:pPr>
      <w:r>
        <w:rPr>
          <w:rFonts w:ascii="Arial" w:hAnsi="Arial"/>
          <w:sz w:val="22"/>
        </w:rPr>
        <w:t>Data processing terms with each: [TBC – Philip: confirm each provider's standard DPA applies and record it]. International transfers: [TBC – Philip] (depends on the R2 and Microsoft locations above).</w:t>
      </w:r>
    </w:p>
    <w:p>
      <w:pPr>
        <w:pStyle w:val="ListBullet"/>
        <w:spacing w:after="60"/>
      </w:pPr>
      <w:r>
        <w:rPr>
          <w:rFonts w:ascii="Arial" w:hAnsi="Arial"/>
          <w:sz w:val="22"/>
        </w:rPr>
        <w:t>legitimate interests in running the club [TBC]</w:t>
      </w:r>
    </w:p>
    <w:p>
      <w:pPr>
        <w:pStyle w:val="ListBullet"/>
        <w:spacing w:after="60"/>
      </w:pPr>
      <w:r>
        <w:rPr>
          <w:rFonts w:ascii="Arial" w:hAnsi="Arial"/>
          <w:sz w:val="22"/>
        </w:rPr>
        <w:t>legitimate interests [TBC]</w:t>
      </w:r>
    </w:p>
    <w:p>
      <w:pPr>
        <w:pStyle w:val="ListBullet"/>
        <w:spacing w:after="60"/>
      </w:pPr>
      <w:r>
        <w:rPr>
          <w:rFonts w:ascii="Arial" w:hAnsi="Arial"/>
          <w:sz w:val="22"/>
        </w:rPr>
        <w:t>Art 9(2)(d), not-for-profit body with a religious aim, processing about members or people in regular contact, not disclosed outside without consent (ICO: conditions for processing (https://ico.org.uk/for-organisations/uk-gdpr-guidance-and-resources/lawful-basis/special-category-data/what-are-the-conditions-for-processing/)); or explicit parental consent, Art 9(2)(a) [TBC – Philip]</w:t>
      </w:r>
    </w:p>
    <w:p>
      <w:pPr>
        <w:pStyle w:val="ListBullet"/>
        <w:spacing w:after="60"/>
      </w:pPr>
      <w:r>
        <w:rPr>
          <w:rFonts w:ascii="Arial" w:hAnsi="Arial"/>
          <w:sz w:val="22"/>
        </w:rPr>
        <w:t>legitimate interests / legal obligation [TBC]</w:t>
      </w:r>
    </w:p>
    <w:p>
      <w:pPr>
        <w:pStyle w:val="ListBullet"/>
        <w:spacing w:after="60"/>
      </w:pPr>
      <w:r>
        <w:rPr>
          <w:rFonts w:ascii="Arial" w:hAnsi="Arial"/>
          <w:sz w:val="22"/>
        </w:rPr>
        <w:t>criminal offence data needs a DPA 2018 Schedule 1 condition; the safeguarding-of-children condition is the likely candidate and needs an appropriate policy document [TBC – Philip: verify condition and write the policy document]</w:t>
      </w:r>
    </w:p>
    <w:p>
      <w:pPr>
        <w:pStyle w:val="ListBullet"/>
        <w:spacing w:after="60"/>
      </w:pPr>
      <w:r>
        <w:rPr>
          <w:rFonts w:ascii="Arial" w:hAnsi="Arial"/>
          <w:sz w:val="22"/>
        </w:rPr>
        <w:t>- Retention: students 3 years after leaving; DBS records and the access log 6 years; hard delete (governance/security-compliance.md). A "records due for deletion" report exists; the purge itself is not built yet (STATE.md Blocked). Backups hold deleted data until they expire (operations/dr-bcp.md §2, R2 retention [TBC – Philip]).</w:t>
      </w:r>
    </w:p>
    <w:p>
      <w:pPr>
        <w:pStyle w:val="ListBullet"/>
        <w:spacing w:after="60"/>
      </w:pPr>
      <w:r>
        <w:rPr>
          <w:rFonts w:ascii="Arial" w:hAnsi="Arial"/>
          <w:sz w:val="22"/>
        </w:rPr>
        <w:t>- Rights: access, rectification and erasure requests handled by Philip [TBC – Philip: process and contact]. Not automated decision-making with legal or similarly significant effect: promotion and consent blocking apply fixed club rules to records.</w:t>
      </w:r>
    </w:p>
    <w:p>
      <w:pPr>
        <w:pStyle w:val="ListBullet"/>
        <w:spacing w:after="60"/>
      </w:pPr>
      <w:r>
        <w:rPr>
          <w:rFonts w:ascii="Arial" w:hAnsi="Arial"/>
          <w:sz w:val="22"/>
        </w:rPr>
        <w:t>[TBC – Philip: breach procedure, ICO 72-hour reporting]</w:t>
      </w:r>
    </w:p>
    <w:p>
      <w:pPr>
        <w:pStyle w:val="ListBullet"/>
        <w:spacing w:after="60"/>
      </w:pPr>
      <w:r>
        <w:rPr>
          <w:rFonts w:ascii="Arial" w:hAnsi="Arial"/>
          <w:sz w:val="22"/>
        </w:rPr>
        <w:t>[TBC – Philip]</w:t>
      </w:r>
    </w:p>
    <w:p>
      <w:pPr>
        <w:pStyle w:val="ListBullet"/>
        <w:spacing w:after="60"/>
      </w:pPr>
      <w:r>
        <w:rPr>
          <w:rFonts w:ascii="Arial" w:hAnsi="Arial"/>
          <w:sz w:val="22"/>
        </w:rPr>
        <w:t>Status: draft for Philip's review, 13/10/2026. Content follows the UK GDPR Article 13 checklist (ICO: what privacy information should we provide? (https://ico.org.uk/for-organisations/uk-gdpr-guidance-and-resources/individual-rights/the-right-to-be-informed/what-privacy-information-should-we-provide/)). Every [TBC – Philip] must be resolved, and the lawful bases confirmed in governance/dpia.md ...</w:t>
      </w:r>
    </w:p>
    <w:p>
      <w:pPr>
        <w:pStyle w:val="ListBullet"/>
        <w:spacing w:after="60"/>
      </w:pPr>
      <w:r>
        <w:rPr>
          <w:rFonts w:ascii="Arial" w:hAnsi="Arial"/>
          <w:sz w:val="22"/>
        </w:rPr>
        <w:t>Who we are. Varangians is the youth club of Shrewsbury Orthodox Church. The church is the data controller for the information in the Varangians app. [TBC – Philip: legal name and address of the controller]. Contact us about your data at [TBC – Philip: contact email].</w:t>
      </w:r>
    </w:p>
    <w:p>
      <w:pPr>
        <w:pStyle w:val="ListBullet"/>
        <w:spacing w:after="60"/>
      </w:pPr>
      <w:r>
        <w:rPr>
          <w:rFonts w:ascii="Arial" w:hAnsi="Arial"/>
          <w:sz w:val="22"/>
        </w:rPr>
        <w:t>Our legal basis. [TBC – Philip: from dpia.md §3]. For example: running the club is in our legitimate interests; photos and trips rely on your consent, which you can withdraw at any time; health information is processed as part of the church's not-for-profit activities with its members [or: with your explicit consent].</w:t>
      </w:r>
    </w:p>
    <w:p>
      <w:pPr>
        <w:pStyle w:val="ListBullet"/>
        <w:spacing w:after="60"/>
      </w:pPr>
      <w:r>
        <w:rPr>
          <w:rFonts w:ascii="Arial" w:hAnsi="Arial"/>
          <w:sz w:val="22"/>
        </w:rPr>
        <w:t>- Cloudflare (encrypted backup copies) [TBC – Philip: location];</w:t>
      </w:r>
    </w:p>
    <w:p>
      <w:pPr>
        <w:pStyle w:val="ListBullet"/>
        <w:spacing w:after="60"/>
      </w:pPr>
      <w:r>
        <w:rPr>
          <w:rFonts w:ascii="Arial" w:hAnsi="Arial"/>
          <w:sz w:val="22"/>
        </w:rPr>
        <w:t>- Microsoft (sending emails from the club's address) [TBC – Philip: location].</w:t>
      </w:r>
    </w:p>
    <w:p>
      <w:pPr>
        <w:pStyle w:val="ListBullet"/>
        <w:spacing w:after="60"/>
      </w:pPr>
      <w:r>
        <w:rPr>
          <w:rFonts w:ascii="Arial" w:hAnsi="Arial"/>
          <w:sz w:val="22"/>
        </w:rPr>
        <w:t>Each acts only on our instructions. We share information with others only where the law requires it, or to protect a child (for example, telling emergency services about a medical condition). [TBC – Philip: any other recipients, e.g. the diocese]</w:t>
      </w:r>
    </w:p>
    <w:p>
      <w:pPr>
        <w:pStyle w:val="ListBullet"/>
        <w:spacing w:after="60"/>
      </w:pPr>
      <w:r>
        <w:rPr>
          <w:rFonts w:ascii="Arial" w:hAnsi="Arial"/>
          <w:sz w:val="22"/>
        </w:rPr>
        <w:t>Transfers outside the UK. [TBC – Philip: none, or which and the safeguard]</w:t>
      </w:r>
    </w:p>
    <w:p>
      <w:pPr>
        <w:pStyle w:val="ListBullet"/>
        <w:spacing w:after="60"/>
      </w:pPr>
      <w:r>
        <w:rPr>
          <w:rFonts w:ascii="Arial" w:hAnsi="Arial"/>
          <w:sz w:val="22"/>
        </w:rPr>
        <w:t>- Backup copies are kept for up to [TBC – Philip: e.g. 35 days] after that, then overwritten.</w:t>
      </w:r>
    </w:p>
    <w:p>
      <w:pPr>
        <w:pStyle w:val="ListBullet"/>
        <w:spacing w:after="60"/>
      </w:pPr>
      <w:r>
        <w:rPr>
          <w:rFonts w:ascii="Arial" w:hAnsi="Arial"/>
          <w:sz w:val="22"/>
        </w:rPr>
        <w:t>Your rights. You can ask to see the information we hold, to correct it, or for it to be deleted or restricted, and you can object to how we use it. Where we rely on your consent you can withdraw it at any time. For your child, a parent can usually exercise these rights; older children may be able to do so themselves. Contact [TBC – Philip]. We will reply within one month.</w:t>
      </w:r>
    </w:p>
    <w:p>
      <w:pPr>
        <w:pStyle w:val="ListBullet"/>
        <w:spacing w:after="60"/>
      </w:pPr>
      <w:r>
        <w:rPr>
          <w:rFonts w:ascii="Arial" w:hAnsi="Arial"/>
          <w:sz w:val="22"/>
        </w:rPr>
        <w:t>Do you have to give us this information? We need the consent form and emergency information before your child can take part in sessions. [TBC – Philip: confirm]</w:t>
      </w:r>
    </w:p>
    <w:p>
      <w:pPr>
        <w:pStyle w:val="ListBullet"/>
        <w:spacing w:after="60"/>
      </w:pPr>
      <w:r>
        <w:rPr>
          <w:rFonts w:ascii="Arial" w:hAnsi="Arial"/>
          <w:sz w:val="22"/>
        </w:rPr>
        <w:t>Changes. Last updated [TBC – date of publication].</w:t>
      </w:r>
    </w:p>
    <w:p>
      <w:pPr>
        <w:pStyle w:val="ListBullet"/>
        <w:spacing w:after="60"/>
      </w:pPr>
      <w:r>
        <w:rPr>
          <w:rFonts w:ascii="Arial" w:hAnsi="Arial"/>
          <w:sz w:val="22"/>
        </w:rPr>
        <w:t>- Where it appears: linked from the app's sign-in page and footer [TBC – needs a small code change], given on paper with the consent form, and in the guardian invite email [TBC – Philip].</w:t>
      </w:r>
    </w:p>
    <w:p>
      <w:pPr>
        <w:keepNext/>
        <w:spacing w:before="280" w:after="120"/>
        <w:outlineLvl w:val="0"/>
      </w:pPr>
      <w:r>
        <w:rPr>
          <w:rFonts w:ascii="Arial" w:hAnsi="Arial"/>
          <w:b/>
          <w:color w:val="111827"/>
          <w:sz w:val="32"/>
        </w:rPr>
        <w:t>Glossary</w:t>
      </w:r>
    </w:p>
    <w:p>
      <w:pPr>
        <w:spacing w:after="120" w:before="0"/>
      </w:pPr>
      <w:r>
        <w:rPr>
          <w:rFonts w:ascii="Arial" w:hAnsi="Arial"/>
          <w:b w:val="0"/>
          <w:i w:val="0"/>
          <w:sz w:val="22"/>
        </w:rPr>
        <w:t>Terms are defined in the VLMS Glossary (VLMS-GLOS / docs/glossary.md).</w:t>
      </w:r>
    </w:p>
    <w:sectPr w:rsidR="00FC693F" w:rsidRPr="0006063C" w:rsidSect="00034616">
      <w:headerReference w:type="default" r:id="rId9"/>
      <w:footerReference w:type="default" r:id="rId10"/>
      <w:pgSz w:w="11906" w:h="16838"/>
      <w:pgMar w:top="1440" w:right="1440" w:bottom="1440" w:left="144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Pr>
        <w:rFonts w:ascii="Arial" w:hAnsi="Arial"/>
        <w:color w:val="6B7280"/>
        <w:sz w:val="16"/>
      </w:rPr>
      <w:t>VLMS Security and Compliance Assessment</w:t>
      <w:tab/>
    </w:r>
    <w:r>
      <w:rPr>
        <w:rFonts w:ascii="Arial" w:hAnsi="Arial"/>
        <w:color w:val="6B7280"/>
        <w:sz w:val="16"/>
      </w:rPr>
      <w:t xml:space="preserve">Page </w:t>
    </w:r>
    <w:r>
      <w:rPr>
        <w:rFonts w:ascii="Arial" w:hAnsi="Arial"/>
        <w:color w:val="6B728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