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Test Plan and Results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Test Plan and Results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VLMS-TEST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(strategy plus results)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docs/quality/test-plan.md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29119-3:2021 (test documentation).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Test Plan</w:t>
      </w:r>
    </w:p>
    <w:p>
      <w:pPr>
        <w:spacing w:after="80"/>
      </w:pPr>
      <w:r>
        <w:rPr>
          <w:rFonts w:ascii="Arial" w:hAnsi="Arial"/>
          <w:sz w:val="22"/>
        </w:rPr>
        <w:t xml:space="preserve">Status: strategy (design gate) plus automated results (13/10/2026) — per ISO/IEC/IEEE 29119-3:2021. Manual results (UAT, production checks) are recorded in </w:t>
      </w:r>
      <w:r>
        <w:rPr>
          <w:rFonts w:ascii="Consolas" w:hAnsi="Consolas"/>
          <w:rFonts w:ascii="Consolas" w:hAnsi="Consolas"/>
          <w:sz w:val="20"/>
        </w:rPr>
        <w:t>quality/uat-report.md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Approach &amp; levels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Unit tests</w:t>
      </w:r>
      <w:r>
        <w:rPr>
          <w:rFonts w:ascii="Arial" w:hAnsi="Arial"/>
          <w:sz w:val="22"/>
        </w:rPr>
        <w:t xml:space="preserve"> (</w:t>
      </w:r>
      <w:r>
        <w:rPr>
          <w:rFonts w:ascii="Consolas" w:hAnsi="Consolas"/>
          <w:rFonts w:ascii="Consolas" w:hAnsi="Consolas"/>
          <w:sz w:val="20"/>
        </w:rPr>
        <w:t>Vlms.Tests</w:t>
      </w:r>
      <w:r>
        <w:rPr>
          <w:rFonts w:ascii="Arial" w:hAnsi="Arial"/>
          <w:sz w:val="22"/>
        </w:rPr>
        <w:t xml:space="preserve">) — domain logic in </w:t>
      </w:r>
      <w:r>
        <w:rPr>
          <w:rFonts w:ascii="Consolas" w:hAnsi="Consolas"/>
          <w:rFonts w:ascii="Consolas" w:hAnsi="Consolas"/>
          <w:sz w:val="20"/>
        </w:rPr>
        <w:t>Vlms.Domain</w:t>
      </w:r>
      <w:r>
        <w:rPr>
          <w:rFonts w:ascii="Arial" w:hAnsi="Arial"/>
          <w:sz w:val="22"/>
        </w:rPr>
        <w:t>: promotion rules, proposal state machine (propose/approve/reject/resubmit), consent-expiry blocking logic, at-risk threshold calculation.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Integration tests</w:t>
      </w:r>
      <w:r>
        <w:rPr>
          <w:rFonts w:ascii="Arial" w:hAnsi="Arial"/>
          <w:sz w:val="22"/>
        </w:rPr>
        <w:t xml:space="preserve"> — EF Core against a real (local/test) PostgreSQL instance or container (originally Azure SQL, per 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 xml:space="preserve"> — as-built, the suite instead uses SQLite in-memory for this layer, since the query-filter/audit-interceptor mechanism it's most concerned with is provider-independent; see </w:t>
      </w:r>
      <w:r>
        <w:rPr>
          <w:rFonts w:ascii="Consolas" w:hAnsi="Consolas"/>
          <w:rFonts w:ascii="Consolas" w:hAnsi="Consolas"/>
          <w:sz w:val="20"/>
        </w:rPr>
        <w:t>openwiki/testing.md</w:t>
      </w:r>
      <w:r>
        <w:rPr>
          <w:rFonts w:ascii="Arial" w:hAnsi="Arial"/>
          <w:sz w:val="22"/>
        </w:rPr>
        <w:t>'s "Test-provider strategy" section): entity relationships, whole-entity access-restriction enforcement (</w:t>
      </w:r>
      <w:r>
        <w:rPr>
          <w:rFonts w:ascii="Consolas" w:hAnsi="Consolas"/>
          <w:rFonts w:ascii="Consolas" w:hAnsi="Consolas"/>
          <w:sz w:val="20"/>
        </w:rPr>
        <w:t>DbsCheck</w:t>
      </w:r>
      <w:r>
        <w:rPr>
          <w:rFonts w:ascii="Arial" w:hAnsi="Arial"/>
          <w:sz w:val="22"/>
        </w:rPr>
        <w:t xml:space="preserve">, </w:t>
      </w:r>
      <w:r>
        <w:rPr>
          <w:rFonts w:ascii="Consolas" w:hAnsi="Consolas"/>
          <w:rFonts w:ascii="Consolas" w:hAnsi="Consolas"/>
          <w:sz w:val="20"/>
        </w:rPr>
        <w:t>ConsentSensitiveDetails</w:t>
      </w:r>
      <w:r>
        <w:rPr>
          <w:rFonts w:ascii="Arial" w:hAnsi="Arial"/>
          <w:sz w:val="22"/>
        </w:rPr>
        <w:t xml:space="preserve">) per role, </w:t>
      </w:r>
      <w:r>
        <w:rPr>
          <w:rFonts w:ascii="Consolas" w:hAnsi="Consolas"/>
          <w:rFonts w:ascii="Consolas" w:hAnsi="Consolas"/>
          <w:sz w:val="20"/>
        </w:rPr>
        <w:t>ConsentRecord</w:t>
      </w:r>
      <w:r>
        <w:rPr>
          <w:rFonts w:ascii="Arial" w:hAnsi="Arial"/>
          <w:sz w:val="22"/>
        </w:rPr>
        <w:t xml:space="preserve"> (status/expiry) remaining readable to Teacher/Approver despite the restriction on its split-out sensitive sibling, certificate generation round-trip (QuestPDF → local disk storage).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End-to-end tests</w:t>
      </w:r>
      <w:r>
        <w:rPr>
          <w:rFonts w:ascii="Arial" w:hAnsi="Arial"/>
          <w:sz w:val="22"/>
        </w:rPr>
        <w:t xml:space="preserve"> — key Blazor user journeys per role (Teacher marks completion → promotion → certificate; Teacher proposes change → Approver approves/rejects → resubmission; Parent views own child only, not others; consent expiry blocks completion).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Accessibility testing</w:t>
      </w:r>
      <w:r>
        <w:rPr>
          <w:rFonts w:ascii="Arial" w:hAnsi="Arial"/>
          <w:sz w:val="22"/>
        </w:rPr>
        <w:t xml:space="preserve"> — WCAG 2.2 AA conformance check against core screens (automated tooling + manual spot-check), per </w:t>
      </w:r>
      <w:r>
        <w:rPr>
          <w:rFonts w:ascii="Consolas" w:hAnsi="Consolas"/>
          <w:rFonts w:ascii="Consolas" w:hAnsi="Consolas"/>
          <w:sz w:val="20"/>
        </w:rPr>
        <w:t>requirements/non-functional.md</w:t>
      </w:r>
      <w:r>
        <w:rPr>
          <w:rFonts w:ascii="Arial" w:hAnsi="Arial"/>
          <w:sz w:val="22"/>
        </w:rPr>
        <w:t>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Security testing</w:t>
      </w:r>
      <w:r>
        <w:rPr>
          <w:rFonts w:ascii="Arial" w:hAnsi="Arial"/>
          <w:sz w:val="22"/>
        </w:rPr>
        <w:t xml:space="preserve"> — OWASP ASVS 5.0-aligned checklist review at delivery gate, focused on access control (role/resource-based authorization) given the safeguarding data in scope.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Environments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Local development (solo developer machine).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No staging environment</w:t>
      </w:r>
      <w:r>
        <w:rPr>
          <w:rFonts w:ascii="Arial" w:hAnsi="Arial"/>
          <w:sz w:val="22"/>
        </w:rPr>
        <w:t xml:space="preserve"> — confirmed at design review, originally reasoned as an Azure App Service tier limitation (deployment slots require Standard tier or above, and ADR-0001 selected Basic/B1, which has none); the self-hosted VPS pivot (</w:t>
      </w:r>
      <w:r>
        <w:rPr>
          <w:rFonts w:ascii="Consolas" w:hAnsi="Consolas"/>
          <w:rFonts w:ascii="Consolas" w:hAnsi="Consolas"/>
          <w:sz w:val="20"/>
        </w:rPr>
        <w:t>adr/0005-hosting-pivot-self-hosted-vps-postgresql.md</w:t>
      </w:r>
      <w:r>
        <w:rPr>
          <w:rFonts w:ascii="Arial" w:hAnsi="Arial"/>
          <w:sz w:val="22"/>
        </w:rPr>
        <w:t>) removed that specific constraint but didn't change the conclusion — a single low-cost VPS for a solo-maintained, tens-of-users system still has no separate staging host. Testing goes local/dev → production directly; this is an accepted trade-off for cost/complexity at this scale, not an oversight.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Entry/exit criteria (initial)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Entry: feature complete against its FR/NFR, unit tests passing locally.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Exit (delivery gate): all TC-nnn below passing, no open Critical/High severity defects, WCAG 2.2 AA spot-check clean, access-control tests for DBS/consent masking passing.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Initial test case skeleton (TC-nnn)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66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418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183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Traces to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marks lesson complete; consent valid → completion recorded, certificate generated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(progress tracking), FR (certificates)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marks lesson complete; consent expired → blocked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(safeguarding &amp; consent)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TC-003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 completes all active lessons in current rank → auto-promoted, badge awarded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(progress tracking)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TC-004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proposes lesson change → Approver approves → live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(curriculum management)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TC-005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 rejects with comments → Teacher resubmits → Approver approves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(curriculum management)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 views own child's dashboard; cannot view another parent's child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 (security/access control)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TC-007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attempts to view a DbsCheck record → denied; Teacher can still read ConsentRecord.Status/ExpiryDate for the same student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 (security/access control), adr/0004-sensitive-data-access-control.md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TC-008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 attempts to view/approve a ConsentRecord or ConsentSensitiveDetails → denied (out of role remit)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 (security/access control)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TC-009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Consent/DBS expiry sweep flags and notifies correctly at threshold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(safeguarding &amp; consent)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TC-010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At-risk flag raised after 8 weeks with no completion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 (reporting)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TC-011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Any read of a DbsCheck or ConsentSensitiveDetails row writes a SensitiveDataAccessLog entry via the IMaterializationInterceptor, including a multi-row read (e.g. Safeguarding Officer lists several DbsCheck records) — one log entry per entity materialized, not just one for the query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adr/0004-sensitive-data-access-control.md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TC-012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StudentGuardianLink cannot be created by parent self-service — only by Admin/Teacher at registration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(Guardian link verification)</w:t>
            </w:r>
          </w:p>
        </w:tc>
      </w:tr>
      <w:tr>
        <w:tc>
          <w:tcPr>
            <w:tcW w:type="dxa" w:w="66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TC-013</w:t>
            </w:r>
          </w:p>
        </w:tc>
        <w:tc>
          <w:tcPr>
            <w:tcW w:type="dxa" w:w="418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failed safeguarding-critical notification (expired consent/DBS) is retried, then escalated as a visible failure to Admin rather than silently dropped</w:t>
            </w:r>
          </w:p>
        </w:tc>
        <w:tc>
          <w:tcPr>
            <w:tcW w:type="dxa" w:w="41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(NotificationService failure handling)</w:t>
            </w:r>
          </w:p>
        </w:tc>
      </w:tr>
      <w:tr>
        <w:tc>
          <w:tcPr>
            <w:tcW w:type="dxa" w:w="66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TC-014</w:t>
            </w:r>
          </w:p>
        </w:tc>
        <w:tc>
          <w:tcPr>
            <w:tcW w:type="dxa" w:w="418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Attempting UPDATE/DELETE against SensitiveDataAccessLog as the application's database principal is denied</w:t>
            </w:r>
          </w:p>
        </w:tc>
        <w:tc>
          <w:tcPr>
            <w:tcW w:type="dxa" w:w="41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adr/0004-sensitive-data-access-control.md (tamper protection)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Full RTM: </w:t>
      </w:r>
      <w:r>
        <w:rPr>
          <w:rFonts w:ascii="Consolas" w:hAnsi="Consolas"/>
          <w:rFonts w:ascii="Consolas" w:hAnsi="Consolas"/>
          <w:sz w:val="20"/>
        </w:rPr>
        <w:t>quality/traceability.md</w:t>
      </w:r>
      <w:r>
        <w:rPr>
          <w:rFonts w:ascii="Arial" w:hAnsi="Arial"/>
          <w:sz w:val="22"/>
        </w:rPr>
        <w:t>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Results (delivery gate)</w:t>
      </w:r>
    </w:p>
    <w:p>
      <w:pPr>
        <w:spacing w:after="80"/>
      </w:pPr>
      <w:r>
        <w:rPr>
          <w:rFonts w:ascii="Arial" w:hAnsi="Arial"/>
          <w:b/>
          <w:sz w:val="22"/>
        </w:rPr>
        <w:t>Run: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build/verify.ps1</w:t>
      </w:r>
      <w:r>
        <w:rPr>
          <w:rFonts w:ascii="Arial" w:hAnsi="Arial"/>
          <w:sz w:val="22"/>
        </w:rPr>
        <w:t xml:space="preserve"> (full gate) on 13/10/2026, 410/410 automated tests passing (</w:t>
      </w:r>
      <w:r>
        <w:rPr>
          <w:rFonts w:ascii="Consolas" w:hAnsi="Consolas"/>
          <w:rFonts w:ascii="Consolas" w:hAnsi="Consolas"/>
          <w:sz w:val="20"/>
        </w:rPr>
        <w:t>tests/Vlms.Tests</w:t>
      </w:r>
      <w:r>
        <w:rPr>
          <w:rFonts w:ascii="Arial" w:hAnsi="Arial"/>
          <w:sz w:val="22"/>
        </w:rPr>
        <w:t>, xUnit). The gate also ran the secret scan, the OWASP ASVS 5.0 V8 access-control stage and the WCAG 2.2 AA stage, all passing. Re-run the gate on the release commit and update this line before the gate package is rendered.</w:t>
      </w:r>
    </w:p>
    <w:p>
      <w:pPr>
        <w:spacing w:after="80"/>
      </w:pPr>
      <w:r>
        <w:rPr>
          <w:rFonts w:ascii="Arial" w:hAnsi="Arial"/>
          <w:b/>
          <w:sz w:val="22"/>
        </w:rPr>
        <w:t>What "automated" covers here.</w:t>
      </w:r>
      <w:r>
        <w:rPr>
          <w:rFonts w:ascii="Arial" w:hAnsi="Arial"/>
          <w:sz w:val="22"/>
        </w:rPr>
        <w:t xml:space="preserve"> The tests exercise the service layer and EF Core query filters/interceptors against SQLite in-memory (see Approach). They do </w:t>
      </w:r>
      <w:r>
        <w:rPr>
          <w:rFonts w:ascii="Arial" w:hAnsi="Arial"/>
          <w:b/>
          <w:sz w:val="22"/>
        </w:rPr>
        <w:t>not</w:t>
      </w:r>
      <w:r>
        <w:rPr>
          <w:rFonts w:ascii="Arial" w:hAnsi="Arial"/>
          <w:sz w:val="22"/>
        </w:rPr>
        <w:t xml:space="preserve"> drive the Blazor UI, and nothing has run against PostgreSQL or the production host. So each TC below has two parts: the automated evidence (done), and a manual confirmation in the real app (UAT, </w:t>
      </w:r>
      <w:r>
        <w:rPr>
          <w:rFonts w:ascii="Consolas" w:hAnsi="Consolas"/>
          <w:rFonts w:ascii="Consolas" w:hAnsi="Consolas"/>
          <w:sz w:val="20"/>
        </w:rPr>
        <w:t>quality/uat-report.md</w:t>
      </w:r>
      <w:r>
        <w:rPr>
          <w:rFonts w:ascii="Arial" w:hAnsi="Arial"/>
          <w:sz w:val="22"/>
        </w:rPr>
        <w:t>) or on the server (</w:t>
      </w:r>
      <w:r>
        <w:rPr>
          <w:rFonts w:ascii="Consolas" w:hAnsi="Consolas"/>
          <w:rFonts w:ascii="Consolas" w:hAnsi="Consolas"/>
          <w:sz w:val="20"/>
        </w:rPr>
        <w:t>deploy/README.md</w:t>
      </w:r>
      <w:r>
        <w:rPr>
          <w:rFonts w:ascii="Arial" w:hAnsi="Arial"/>
          <w:sz w:val="22"/>
        </w:rPr>
        <w:t xml:space="preserve"> §7). A TC is </w:t>
      </w:r>
      <w:r>
        <w:rPr>
          <w:rFonts w:ascii="Arial" w:hAnsi="Arial"/>
          <w:b/>
          <w:sz w:val="22"/>
        </w:rPr>
        <w:t>Passed</w:t>
      </w:r>
      <w:r>
        <w:rPr>
          <w:rFonts w:ascii="Arial" w:hAnsi="Arial"/>
          <w:sz w:val="22"/>
        </w:rPr>
        <w:t xml:space="preserve"> only when both are done.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45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287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Automated evidence (tests/Vlms.Tests/…)</w:t>
            </w:r>
          </w:p>
        </w:tc>
        <w:tc>
          <w:tcPr>
            <w:tcW w:type="dxa" w:w="628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Automated</w:t>
            </w:r>
          </w:p>
        </w:tc>
        <w:tc>
          <w:tcPr>
            <w:tcW w:type="dxa" w:w="287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Manual / production</w:t>
            </w:r>
          </w:p>
        </w:tc>
        <w:tc>
          <w:tcPr>
            <w:tcW w:type="dxa" w:w="220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CompletionServiceTests.MarkCompleteAsync_WithActiveConsent_RecordsCompletion_AndGeneratesCertificate; CertificateServiceTests.GenerateAsync_UploadsARealPdf_ToBlobStorage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UAT-03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CompletionServiceTests.MarkCompleteAsync_WithExpiredConsent_Throws_AndRecordsNoCompletion, …_WithNoConsentRecord_Throws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UAT-04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TC-003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PromotionServiceTests.CheckAndPromoteAsync_AllActiveLessonsComplete_PromotesToNextRank, …_WithRankBadgeConfigured_AwardsStudentBadge; CompletionServiceTests.MarkCompleteAsync_CompletingFinalLessonInRank_TriggersAutoPromotion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UAT-05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TC-004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LessonProposalServiceTests.ProposeAsync_ByTeacher_CreatesPendingProposal, ApproveAsync_CreateProposal_CreatesLesson_AndApprovesProposal, ApproveAsync_EditProposal_UpdatesExistingLesson, ApproveAsync_RetireProposal_SetsLessonInactive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UAT-06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TC-005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LessonProposalServiceTests.RejectAsync_ByApprover_SetsRejectedStatus_AndStoresComments, ResubmitAsync_AfterRejection_CreatesNewProposal_ChainedToOriginal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UAT-07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ParentDashboardServiceTests.GetDashboardAsync_ParentB_SeesOnlySam_NeverAlex_CrossParentAccessIsDenied; Authorization/StudentAccessHandlerTests.ParentHandler_Denies_UnlinkedStudent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UAT-08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TC-007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SensitiveDataAccessControlTests.Teacher_CannotRead_DbsCheck_Or_ConsentSensitiveDetails, Teacher_CanStillRead_ConsentRecord_StatusAndExpiry_ForSameStudent; DbsCheckServiceTests.RecordAsync_ByTeacher_Throws_AndCreatesNothing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UAT-09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TC-008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SensitiveDataAccessControlTests.Approver_CannotRead_DbsCheck_Or_ConsentSensitiveDetails_ButCanRead_ConsentRecord (added 13/10/2026; fails when the query filter admits Approver); ConsentRecordServiceTests.DecideAsync_ByApprover_Throws, RecordAsync_ByApprover_Throws_AndCreatesNothing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UAT-09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TC-009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ConsentExpiryJobTests.RunAsync_FlagsConsentExpiringSoon_Expired_AndMissing_ButNotBeyondWindowOrInactive, …_FlagsDbsExpiringSoon_Expired_Missing_AndFlaggedStatus_ButNotValid, RunAsync_ExpiryWindow_IsConfigurable; ConsentExpiryNotifierTests.NotifyAsync_ExpiredConsent_SendsOneDigestEmail_ToEachAdminAndSafeguardingOfficer_NotToTeacher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deploy/README.md §7 (vlms-jobs run)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production run pending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TC-010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ConsentExpiryJobTests.RunAsync_FlagsAtRiskStudents_ByCompletionGap_OrEnrolmentIfNever_ButGivesNewEnrolmentsAFairChance; ProgressReportingServiceTests.GetAtRiskStudentsAsync_ProducesTheSamePopulation_AsConsentExpiryJobsSweep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UAT-11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TC-011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SensitiveDataAccessControlTests.MaterializingDbsCheck_AsAdmin_WritesAuditLogEntry_WithCorrectEntityId, MultiRowRead_OfTwoDbsChecks_WritesOneAuditLogEntryPerRow; ConsentExpiryJobTests.RunAsync_SweepingDbsChecks_WritesOneSensitiveDataAccessLogEntryPerDbsCheckRead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UAT-10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TC-012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GuardianLinkServiceTests.CreateLinkAsync_ByParent_Throws_AndCreatesNoLink, RegisterGuardianAndLinkAsync_ByParent_Throws_AndCreatesNoGuardianOrLink; StudentRegistrationServiceTests.RegisterStudentWithNewGuardianAsync_ByParent_Throws_AndCreatesNoRows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UAT-02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UAT pending</w:t>
            </w:r>
          </w:p>
        </w:tc>
      </w:tr>
      <w:tr>
        <w:tc>
          <w:tcPr>
            <w:tcW w:type="dxa" w:w="45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TC-013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NotificationServiceTests.SendAsync_SafeguardingCritical_AllAttemptsFail_ReturnsFailedAndEscalated_AndLogsError, …_SucceedsAfterRetries_ReturnsSentAfterRetry</w:t>
            </w:r>
          </w:p>
        </w:tc>
        <w:tc>
          <w:tcPr>
            <w:tcW w:type="dxa" w:w="628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escalation visibility depends on the alert route (operations/monitoring.md §3, [TBC – Philip])</w:t>
            </w:r>
          </w:p>
        </w:tc>
        <w:tc>
          <w:tcPr>
            <w:tcW w:type="dxa" w:w="220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Automated pass; alert route undecided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TC-014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MigrationsTests.MigrationScript_RevokesUpdateAndDeleteFromPublic, MigrationScript_EnablesAndForcesRowLevelSecurity, MigrationScript_DoesNotDefinePermissiveUpdateOrDeletePolicy (generated SQL only)</w:t>
            </w:r>
          </w:p>
        </w:tc>
        <w:tc>
          <w:tcPr>
            <w:tcW w:type="dxa" w:w="628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Pass</w:t>
            </w:r>
          </w:p>
        </w:tc>
        <w:tc>
          <w:tcPr>
            <w:tcW w:type="dxa" w:w="287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deploy/README.md §3 live UPDATE as vlms_app and vlms_owner must fail</w:t>
            </w:r>
          </w:p>
        </w:tc>
        <w:tc>
          <w:tcPr>
            <w:tcW w:type="dxa" w:w="220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Script verified; live check pending go-live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sz w:val="22"/>
        </w:rPr>
        <w:t>Not covered by the TC list, recorded for completeness:</w:t>
      </w:r>
      <w:r>
        <w:rPr>
          <w:rFonts w:ascii="Arial" w:hAnsi="Arial"/>
          <w:sz w:val="22"/>
        </w:rPr>
        <w:t xml:space="preserve"> the end-to-end Blazor journeys named under Approach are covered by UAT, not by automated browser tests (none were built: a deliberate cost decision at this scale). WCAG 2.2 AA: automated gate stage plus </w:t>
      </w:r>
      <w:r>
        <w:rPr>
          <w:rFonts w:ascii="Consolas" w:hAnsi="Consolas"/>
          <w:rFonts w:ascii="Consolas" w:hAnsi="Consolas"/>
          <w:sz w:val="20"/>
        </w:rPr>
        <w:t>quality/wcag-2.2-aa-checklist.md</w:t>
      </w:r>
      <w:r>
        <w:rPr>
          <w:rFonts w:ascii="Arial" w:hAnsi="Arial"/>
          <w:sz w:val="22"/>
        </w:rPr>
        <w:t>; colour contrast (1.4.3/1.4.11) is still open pending branding.</w:t>
      </w:r>
    </w:p>
    <w:p>
      <w:pPr>
        <w:spacing w:after="80"/>
      </w:pPr>
      <w:r>
        <w:rPr>
          <w:rFonts w:ascii="Arial" w:hAnsi="Arial"/>
          <w:b/>
          <w:sz w:val="22"/>
        </w:rPr>
        <w:t>Exit-criteria position (13/10/2026):</w:t>
      </w:r>
      <w:r>
        <w:rPr>
          <w:rFonts w:ascii="Arial" w:hAnsi="Arial"/>
          <w:sz w:val="22"/>
        </w:rPr>
        <w:t xml:space="preserve"> not yet met. Open: UAT, the production-only checks for TC-009/TC-014, colour contrast, and the TC-013 alert route.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escalation visibility depends on the alert route (operations/monitoring.md §3, [TBC – Philip])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Test Plan and Results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