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Architecture Decision Records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— Design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Architecture Decision Records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VLMS-ADR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adr/0001-technology-stack.md, adr/README.md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Initial design gate release, rendered from docs/ working markdown.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spacing w:after="200" w:before="0"/>
      </w:pPr>
      <w:r>
        <w:rPr>
          <w:rFonts w:ascii="Arial" w:hAnsi="Arial"/>
          <w:b w:val="0"/>
          <w:i/>
          <w:color w:val="6B7280"/>
          <w:sz w:val="20"/>
        </w:rPr>
        <w:t>Format: Nygard / MADR (context, decision, status, consequences, alternatives).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ADRs are added as new decisions are made during design (adr/README.md). One ADR is recorded at this gate.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ADR-0001: Technology stack — Blazor + Azure</w:t>
      </w:r>
    </w:p>
    <w:p>
      <w:pPr>
        <w:spacing w:after="120" w:before="0"/>
      </w:pPr>
      <w:r>
        <w:rPr>
          <w:rFonts w:ascii="Arial" w:hAnsi="Arial"/>
          <w:b/>
          <w:i w:val="0"/>
          <w:sz w:val="22"/>
        </w:rPr>
        <w:t>Status: Accepted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Context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Must be accessible via phone, tablet, and browser.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Solo developer, no dedicated ops team, must minimise ongoing maintenance burden.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Small scale: tens of users per role (Admin, Teacher, Approver, Parent/Guardian, Student, Safeguarding Officer), not hundreds/thousands.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 hard budget ceiling, but a stated preference for low ongoing hosting cost.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Manages special-category/children's personal data (safeguarding, medical, consent, DBS).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Standalone system: no integration with an existing membership/payments/calendar platform; only needs outbound transactional email.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Certificates are auto-generated PDF documents.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Decision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2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68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Choice</w:t>
            </w:r>
          </w:p>
        </w:tc>
      </w:tr>
      <w:tr>
        <w:tc>
          <w:tcPr>
            <w:tcW w:type="dxa" w:w="2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Client</w:t>
            </w:r>
          </w:p>
        </w:tc>
        <w:tc>
          <w:tcPr>
            <w:tcW w:type="dxa" w:w="68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Blazor Web App (.NET), responsive, PWA-installable</w:t>
            </w:r>
          </w:p>
        </w:tc>
      </w:tr>
      <w:tr>
        <w:tc>
          <w:tcPr>
            <w:tcW w:type="dxa" w:w="22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Hosting</w:t>
            </w:r>
          </w:p>
        </w:tc>
        <w:tc>
          <w:tcPr>
            <w:tcW w:type="dxa" w:w="68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Azure App Service (Linux), Basic (B1) tier initially</w:t>
            </w:r>
          </w:p>
        </w:tc>
      </w:tr>
      <w:tr>
        <w:tc>
          <w:tcPr>
            <w:tcW w:type="dxa" w:w="2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Database</w:t>
            </w:r>
          </w:p>
        </w:tc>
        <w:tc>
          <w:tcPr>
            <w:tcW w:type="dxa" w:w="68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Azure SQL Database, Basic/S0 tier initially</w:t>
            </w:r>
          </w:p>
        </w:tc>
      </w:tr>
      <w:tr>
        <w:tc>
          <w:tcPr>
            <w:tcW w:type="dxa" w:w="22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Identity</w:t>
            </w:r>
          </w:p>
        </w:tc>
        <w:tc>
          <w:tcPr>
            <w:tcW w:type="dxa" w:w="68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Microsoft Entra External ID (CIAM) for all six roles' sign-in</w:t>
            </w:r>
          </w:p>
        </w:tc>
      </w:tr>
      <w:tr>
        <w:tc>
          <w:tcPr>
            <w:tcW w:type="dxa" w:w="2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File storage</w:t>
            </w:r>
          </w:p>
        </w:tc>
        <w:tc>
          <w:tcPr>
            <w:tcW w:type="dxa" w:w="68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Azure Blob Storage — lesson content assets, generated certificate PDFs</w:t>
            </w:r>
          </w:p>
        </w:tc>
      </w:tr>
      <w:tr>
        <w:tc>
          <w:tcPr>
            <w:tcW w:type="dxa" w:w="22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Email</w:t>
            </w:r>
          </w:p>
        </w:tc>
        <w:tc>
          <w:tcPr>
            <w:tcW w:type="dxa" w:w="68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Azure Communication Services Email — transactional email</w:t>
            </w:r>
          </w:p>
        </w:tc>
      </w:tr>
      <w:tr>
        <w:tc>
          <w:tcPr>
            <w:tcW w:type="dxa" w:w="2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PDF generation</w:t>
            </w:r>
          </w:p>
        </w:tc>
        <w:tc>
          <w:tcPr>
            <w:tcW w:type="dxa" w:w="68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QuestPDF (open-source .NET library, Community licence)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Alternatives considered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Client — .NET MAUI native app + separate Web API: rejected, app-store distribution/update cycles add solo-maintainer overhead disproportionate to a tens-of-users audience; Blazor meets the phone/tablet/browser requirement with one codebase.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Identity — Azure AD B2C: rejected, retired for new customers as of May 2025 (Microsoft Entra fundamentals, learn.microsoft.com/entra/architecture/secure-fundamentals); Entra External ID is Microsoft's current CIAM product (learn.microsoft.com/entra/external-id/external-identities-overview).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Identity — custom ASP.NET Core Identity: rejected, would require building and maintaining password/MFA/account-recovery flows solo, which Entra External ID provides out of the box.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Hosting — Azure Container Apps / Functions: rejected for v1, App Service is the simplest operational model for a single Blazor Web App at this scale; can revisit if scale-to-zero cost savings become material.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Database — Azure Cosmos DB: rejected, the domain is strongly relational and best served by a relational store with EF Core.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PDF generation — IronPDF, DinkToPdf: rejected, QuestPDF chosen for its free Community licence at this scale and native C# fluent API (no HTML/headless-browser dependency).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Consequences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All identity/auth work is delegated to Entra External ID; user-role mapping must be modelled as application-level authorization, not built from scratch.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QuestPDF is a non-Microsoft dependency; licence terms should be re-checked if the project ever exceeds the Community licence's revenue/org-size threshold.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Azure Communication Services Email requires a verified sending domain before go-live.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Starting tiers (App Service B1, SQL Basic/S0) are sized for tens-of-users load; scaling up is a configuration change, not a redesign, if usage grows materially beyond the ~2-year assumption (raid.md A-002).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Architecture Decision Records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