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0"/>
      </w:pPr>
      <w:r>
        <w:rPr>
          <w:rFonts w:ascii="Arial" w:hAnsi="Arial"/>
          <w:b/>
          <w:i w:val="0"/>
          <w:color w:val="1F2937"/>
          <w:sz w:val="48"/>
        </w:rPr>
        <w:t>VLMS Business Requirements Document</w:t>
      </w:r>
    </w:p>
    <w:p>
      <w:pPr>
        <w:spacing w:after="40" w:before="0"/>
      </w:pPr>
      <w:r>
        <w:rPr>
          <w:rFonts w:ascii="Arial" w:hAnsi="Arial"/>
          <w:b w:val="0"/>
          <w:i w:val="0"/>
          <w:color w:val="374151"/>
          <w:sz w:val="24"/>
        </w:rPr>
        <w:t>Varangians LMS — Design Gate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7D7D9"/>
          <w:left w:val="single" w:sz="4" w:color="C7D7D9"/>
          <w:bottom w:val="single" w:sz="4" w:color="C7D7D9"/>
          <w:right w:val="single" w:sz="4" w:color="C7D7D9"/>
          <w:insideH w:val="single" w:sz="4" w:color="C7D7D9"/>
          <w:insideV w:val="single" w:sz="4" w:color="C7D7D9"/>
        </w:tblBorders>
      </w:tblPr>
      <w:tblGrid>
        <w:gridCol w:w="4513"/>
        <w:gridCol w:w="4513"/>
      </w:tblGrid>
      <w:tr>
        <w:tc>
          <w:tcPr>
            <w:tcW w:type="dxa" w:w="2400"/>
            <w:shd w:val="clear" w:color="auto" w:fill="374151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6626"/>
            <w:shd w:val="clear" w:color="auto" w:fill="374151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2400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Document</w:t>
            </w:r>
          </w:p>
        </w:tc>
        <w:tc>
          <w:tcPr>
            <w:tcW w:type="dxa" w:w="6626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VLMS Business Requirements Document</w:t>
            </w:r>
          </w:p>
        </w:tc>
      </w:tr>
      <w:tr>
        <w:tc>
          <w:tcPr>
            <w:tcW w:type="dxa" w:w="2400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Document code</w:t>
            </w:r>
          </w:p>
        </w:tc>
        <w:tc>
          <w:tcPr>
            <w:tcW w:type="dxa" w:w="6626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VLMS-BRD</w:t>
            </w:r>
          </w:p>
        </w:tc>
      </w:tr>
      <w:tr>
        <w:tc>
          <w:tcPr>
            <w:tcW w:type="dxa" w:w="2400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Version</w:t>
            </w:r>
          </w:p>
        </w:tc>
        <w:tc>
          <w:tcPr>
            <w:tcW w:type="dxa" w:w="6626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1.0</w:t>
            </w:r>
          </w:p>
        </w:tc>
      </w:tr>
      <w:tr>
        <w:tc>
          <w:tcPr>
            <w:tcW w:type="dxa" w:w="2400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Status</w:t>
            </w:r>
          </w:p>
        </w:tc>
        <w:tc>
          <w:tcPr>
            <w:tcW w:type="dxa" w:w="6626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Design gate</w:t>
            </w:r>
          </w:p>
        </w:tc>
      </w:tr>
      <w:tr>
        <w:tc>
          <w:tcPr>
            <w:tcW w:type="dxa" w:w="2400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Date</w:t>
            </w:r>
          </w:p>
        </w:tc>
        <w:tc>
          <w:tcPr>
            <w:tcW w:type="dxa" w:w="6626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17 July 2026</w:t>
            </w:r>
          </w:p>
        </w:tc>
      </w:tr>
      <w:tr>
        <w:tc>
          <w:tcPr>
            <w:tcW w:type="dxa" w:w="2400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Author</w:t>
            </w:r>
          </w:p>
        </w:tc>
        <w:tc>
          <w:tcPr>
            <w:tcW w:type="dxa" w:w="6626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Philip</w:t>
            </w:r>
          </w:p>
        </w:tc>
      </w:tr>
      <w:tr>
        <w:tc>
          <w:tcPr>
            <w:tcW w:type="dxa" w:w="2400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Reviewers</w:t>
            </w:r>
          </w:p>
        </w:tc>
        <w:tc>
          <w:tcPr>
            <w:tcW w:type="dxa" w:w="6626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Philip (sole reviewer / approver)</w:t>
            </w:r>
          </w:p>
        </w:tc>
      </w:tr>
      <w:tr>
        <w:tc>
          <w:tcPr>
            <w:tcW w:type="dxa" w:w="2400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Approver</w:t>
            </w:r>
          </w:p>
        </w:tc>
        <w:tc>
          <w:tcPr>
            <w:tcW w:type="dxa" w:w="6626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[TBC]</w:t>
            </w:r>
          </w:p>
        </w:tc>
      </w:tr>
      <w:tr>
        <w:tc>
          <w:tcPr>
            <w:tcW w:type="dxa" w:w="2400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Scope / phase</w:t>
            </w:r>
          </w:p>
        </w:tc>
        <w:tc>
          <w:tcPr>
            <w:tcW w:type="dxa" w:w="6626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Design gate</w:t>
            </w:r>
          </w:p>
        </w:tc>
      </w:tr>
      <w:tr>
        <w:tc>
          <w:tcPr>
            <w:tcW w:type="dxa" w:w="2400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Related documents</w:t>
            </w:r>
          </w:p>
        </w:tc>
        <w:tc>
          <w:tcPr>
            <w:tcW w:type="dxa" w:w="6626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problem-statement.md, stakeholders.md, user-journeys.md, business-requirements.md, constraints.md</w:t>
            </w:r>
          </w:p>
        </w:tc>
      </w:tr>
    </w:tbl>
    <w:p>
      <w:pPr>
        <w:spacing w:after="80"/>
      </w:pPr>
    </w:p>
    <w:p>
      <w:pPr>
        <w:keepNext/>
        <w:spacing w:before="200" w:after="80"/>
        <w:outlineLvl w:val="1"/>
      </w:pPr>
      <w:r>
        <w:rPr>
          <w:rFonts w:ascii="Arial" w:hAnsi="Arial"/>
          <w:b/>
          <w:color w:val="1F2937"/>
          <w:sz w:val="26"/>
        </w:rPr>
        <w:t>Change History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7D7D9"/>
          <w:left w:val="single" w:sz="4" w:color="C7D7D9"/>
          <w:bottom w:val="single" w:sz="4" w:color="C7D7D9"/>
          <w:right w:val="single" w:sz="4" w:color="C7D7D9"/>
          <w:insideH w:val="single" w:sz="4" w:color="C7D7D9"/>
          <w:insideV w:val="single" w:sz="4" w:color="C7D7D9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1150"/>
            <w:shd w:val="clear" w:color="auto" w:fill="374151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1500"/>
            <w:shd w:val="clear" w:color="auto" w:fill="374151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20"/>
              </w:rPr>
              <w:t>Date</w:t>
            </w:r>
          </w:p>
        </w:tc>
        <w:tc>
          <w:tcPr>
            <w:tcW w:type="dxa" w:w="2700"/>
            <w:shd w:val="clear" w:color="auto" w:fill="374151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20"/>
              </w:rPr>
              <w:t>Author</w:t>
            </w:r>
          </w:p>
        </w:tc>
        <w:tc>
          <w:tcPr>
            <w:tcW w:type="dxa" w:w="3676"/>
            <w:shd w:val="clear" w:color="auto" w:fill="374151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20"/>
              </w:rPr>
              <w:t>Summary</w:t>
            </w:r>
          </w:p>
        </w:tc>
      </w:tr>
      <w:tr>
        <w:tc>
          <w:tcPr>
            <w:tcW w:type="dxa" w:w="1150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1.0</w:t>
            </w:r>
          </w:p>
        </w:tc>
        <w:tc>
          <w:tcPr>
            <w:tcW w:type="dxa" w:w="1500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17 July 2026</w:t>
            </w:r>
          </w:p>
        </w:tc>
        <w:tc>
          <w:tcPr>
            <w:tcW w:type="dxa" w:w="2700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Philip</w:t>
            </w:r>
          </w:p>
        </w:tc>
        <w:tc>
          <w:tcPr>
            <w:tcW w:type="dxa" w:w="3676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Initial design gate release, rendered from docs/ working markdown.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keepNext/>
        <w:spacing w:before="280" w:after="120"/>
        <w:outlineLvl w:val="0"/>
      </w:pPr>
      <w:r>
        <w:rPr>
          <w:rFonts w:ascii="Arial" w:hAnsi="Arial"/>
          <w:b/>
          <w:color w:val="111827"/>
          <w:sz w:val="32"/>
        </w:rPr>
        <w:t>Contents</w:t>
      </w:r>
    </w:p>
    <w:p>
      <w:fldSimple w:instr="TOC \o &quot;1-2&quot; \h \z \u">
        <w:r>
          <w:t>Right-click and choose "Update Field" to build the contents.</w:t>
        </w:r>
      </w:fldSimple>
    </w:p>
    <w:p>
      <w:r>
        <w:br w:type="page"/>
      </w:r>
    </w:p>
    <w:p>
      <w:pPr>
        <w:spacing w:after="200" w:before="0"/>
      </w:pPr>
      <w:r>
        <w:rPr>
          <w:rFonts w:ascii="Arial" w:hAnsi="Arial"/>
          <w:b w:val="0"/>
          <w:i/>
          <w:color w:val="6B7280"/>
          <w:sz w:val="20"/>
        </w:rPr>
        <w:t>Satisfies: ISO/IEC/IEEE 29148:2018 (requirements engineering); BABOK Guide v3 (business analysis conventions).</w:t>
      </w:r>
    </w:p>
    <w:p>
      <w:pPr>
        <w:keepNext/>
        <w:spacing w:before="280" w:after="120"/>
        <w:outlineLvl w:val="0"/>
      </w:pPr>
      <w:r>
        <w:rPr>
          <w:rFonts w:ascii="Arial" w:hAnsi="Arial"/>
          <w:b/>
          <w:color w:val="111827"/>
          <w:sz w:val="32"/>
        </w:rPr>
        <w:t>1. Executive summary</w:t>
      </w:r>
    </w:p>
    <w:p>
      <w:pPr>
        <w:spacing w:after="120" w:before="0"/>
      </w:pPr>
      <w:r>
        <w:rPr>
          <w:rFonts w:ascii="Arial" w:hAnsi="Arial"/>
          <w:b w:val="0"/>
          <w:i w:val="0"/>
          <w:sz w:val="22"/>
        </w:rPr>
        <w:t>VLMS replaces informal spreadsheet-based tracking with a purpose-built system covering progress tracking, curriculum management, safeguarding/consent/DBS administration, parent engagement, certificates/badges, and reporting for the Varangians programme. This is a fresh .NET rebuild; a prior Power Platform implementation was abandoned and is not reused.</w:t>
      </w:r>
    </w:p>
    <w:p>
      <w:pPr>
        <w:keepNext/>
        <w:spacing w:before="280" w:after="120"/>
        <w:outlineLvl w:val="0"/>
      </w:pPr>
      <w:r>
        <w:rPr>
          <w:rFonts w:ascii="Arial" w:hAnsi="Arial"/>
          <w:b/>
          <w:color w:val="111827"/>
          <w:sz w:val="32"/>
        </w:rPr>
        <w:t>2. Business context &amp; problem statement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Progress tracking and records are kept in spreadsheets that go out of date; tracking is informal.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No curriculum management process: lesson content is not periodically reviewed, and there is no structured way to propose or make incremental improvements to lessons.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No structured parent communication channel around a student's progress.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No mechanism to encourage learning/reinforcement at home, between formal sessions.</w:t>
      </w:r>
    </w:p>
    <w:p>
      <w:pPr>
        <w:keepNext/>
        <w:spacing w:before="280" w:after="120"/>
        <w:outlineLvl w:val="0"/>
      </w:pPr>
      <w:r>
        <w:rPr>
          <w:rFonts w:ascii="Arial" w:hAnsi="Arial"/>
          <w:b/>
          <w:color w:val="111827"/>
          <w:sz w:val="32"/>
        </w:rPr>
        <w:t>3. Drivers &amp; objectives</w:t>
      </w:r>
    </w:p>
    <w:p>
      <w:pPr>
        <w:pStyle w:val="ListNumber"/>
        <w:spacing w:after="60"/>
      </w:pPr>
      <w:r>
        <w:rPr>
          <w:rFonts w:ascii="Arial" w:hAnsi="Arial"/>
          <w:sz w:val="22"/>
        </w:rPr>
        <w:t>Progress tracking — reliable, current tracking of each student's lesson completions and rank progression.</w:t>
      </w:r>
    </w:p>
    <w:p>
      <w:pPr>
        <w:pStyle w:val="ListNumber"/>
        <w:spacing w:after="60"/>
      </w:pPr>
      <w:r>
        <w:rPr>
          <w:rFonts w:ascii="Arial" w:hAnsi="Arial"/>
          <w:sz w:val="22"/>
        </w:rPr>
        <w:t>Curriculum management process — a repeatable process to periodically review, propose, approve and improve lessons over time.</w:t>
      </w:r>
    </w:p>
    <w:p>
      <w:pPr>
        <w:pStyle w:val="ListNumber"/>
        <w:spacing w:after="60"/>
      </w:pPr>
      <w:r>
        <w:rPr>
          <w:rFonts w:ascii="Arial" w:hAnsi="Arial"/>
          <w:sz w:val="22"/>
        </w:rPr>
        <w:t>Parent engagement — keep parents informed of their child's progress.</w:t>
      </w:r>
    </w:p>
    <w:p>
      <w:pPr>
        <w:pStyle w:val="ListNumber"/>
        <w:spacing w:after="60"/>
      </w:pPr>
      <w:r>
        <w:rPr>
          <w:rFonts w:ascii="Arial" w:hAnsi="Arial"/>
          <w:sz w:val="22"/>
        </w:rPr>
        <w:t>At-home learning — encourage learning/reinforcement outside of formal sessions (deferred).</w:t>
      </w:r>
    </w:p>
    <w:p>
      <w:pPr>
        <w:keepNext/>
        <w:spacing w:before="280" w:after="120"/>
        <w:outlineLvl w:val="0"/>
      </w:pPr>
      <w:r>
        <w:rPr>
          <w:rFonts w:ascii="Arial" w:hAnsi="Arial"/>
          <w:b/>
          <w:color w:val="111827"/>
          <w:sz w:val="32"/>
        </w:rPr>
        <w:t>4. Stakeholders</w:t>
      </w:r>
    </w:p>
    <w:p>
      <w:pPr>
        <w:spacing w:after="120" w:before="0"/>
      </w:pPr>
      <w:r>
        <w:rPr>
          <w:rFonts w:ascii="Arial" w:hAnsi="Arial"/>
          <w:b w:val="0"/>
          <w:i w:val="0"/>
          <w:sz w:val="22"/>
        </w:rPr>
        <w:t>Philip: sponsor, owner, sole developer, sole decision-maker/reviewer for requirements and sign-off. User personas (multi-role user base, distinct from solo delivery): Admin/Leader, Teacher, Approver (curriculum/lesson-change approval only), Parent/Guardian, Student, Safeguarding Officer (safeguarding/consent/DBS oversight). Approver and Safeguarding Officer are already held by named individuals distinct from Philip — genuinely separate roles in practice today. Scale: tens of users per role over ~2 years.</w:t>
      </w:r>
    </w:p>
    <w:p>
      <w:pPr>
        <w:spacing w:after="120" w:before="0"/>
      </w:pPr>
      <w:r>
        <w:rPr>
          <w:rFonts w:ascii="Arial" w:hAnsi="Arial"/>
          <w:b w:val="0"/>
          <w:i/>
          <w:color w:val="A83E00"/>
          <w:sz w:val="22"/>
        </w:rPr>
        <w:t>[TBC – owner: Philip] Frequency of use and device context per persona has not yet been captured (stakeholders.md).</w:t>
      </w:r>
    </w:p>
    <w:p>
      <w:pPr>
        <w:keepNext/>
        <w:spacing w:before="280" w:after="120"/>
        <w:outlineLvl w:val="0"/>
      </w:pPr>
      <w:r>
        <w:rPr>
          <w:rFonts w:ascii="Arial" w:hAnsi="Arial"/>
          <w:b/>
          <w:color w:val="111827"/>
          <w:sz w:val="32"/>
        </w:rPr>
        <w:t>5. Current vs target state</w:t>
      </w:r>
    </w:p>
    <w:p>
      <w:pPr>
        <w:spacing w:after="120" w:before="0"/>
      </w:pPr>
      <w:r>
        <w:rPr>
          <w:rFonts w:ascii="Arial" w:hAnsi="Arial"/>
          <w:b w:val="0"/>
          <w:i/>
          <w:color w:val="A83E00"/>
          <w:sz w:val="22"/>
        </w:rPr>
        <w:t>[TBC – owner: Philip] user-journeys.md is not yet started; no current-state or target-state journeys have been documented. The current-state summary below is drawn from problem-statement.md only, not from mapped user journeys.</w:t>
      </w:r>
    </w:p>
    <w:p>
      <w:pPr>
        <w:spacing w:after="120" w:before="0"/>
      </w:pPr>
      <w:r>
        <w:rPr>
          <w:rFonts w:ascii="Arial" w:hAnsi="Arial"/>
          <w:b w:val="0"/>
          <w:i w:val="0"/>
          <w:sz w:val="22"/>
        </w:rPr>
        <w:t>Current state (from problem-statement.md): spreadsheet-based, informal tracking; no curriculum review process; no structured parent communication; no at-home reinforcement mechanism.</w:t>
      </w:r>
    </w:p>
    <w:p>
      <w:pPr>
        <w:keepNext/>
        <w:spacing w:before="280" w:after="120"/>
        <w:outlineLvl w:val="0"/>
      </w:pPr>
      <w:r>
        <w:rPr>
          <w:rFonts w:ascii="Arial" w:hAnsi="Arial"/>
          <w:b/>
          <w:color w:val="111827"/>
          <w:sz w:val="32"/>
        </w:rPr>
        <w:t>6. Business requirements (BR-nnn, MoSCoW)</w:t>
      </w:r>
    </w:p>
    <w:p>
      <w:pPr>
        <w:spacing w:after="120" w:before="0"/>
      </w:pPr>
      <w:r>
        <w:rPr>
          <w:rFonts w:ascii="Arial" w:hAnsi="Arial"/>
          <w:b w:val="0"/>
          <w:i/>
          <w:color w:val="A83E00"/>
          <w:sz w:val="22"/>
        </w:rPr>
        <w:t>[TBC – owner: Philip] business-requirements.md records scope at a narrative MoSCoW level; the BR-001–BR-006 identifiers below are the provisional groupings assigned during design in quality/traceability.md, not yet split into finer-grained discrete BR-nnn entries in business-requirements.md itself.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7D7D9"/>
          <w:left w:val="single" w:sz="4" w:color="C7D7D9"/>
          <w:bottom w:val="single" w:sz="4" w:color="C7D7D9"/>
          <w:right w:val="single" w:sz="4" w:color="C7D7D9"/>
          <w:insideH w:val="single" w:sz="4" w:color="C7D7D9"/>
          <w:insideV w:val="single" w:sz="4" w:color="C7D7D9"/>
        </w:tblBorders>
      </w:tblPr>
      <w:tblGrid>
        <w:gridCol w:w="3009"/>
        <w:gridCol w:w="3009"/>
        <w:gridCol w:w="3009"/>
      </w:tblGrid>
      <w:tr>
        <w:tc>
          <w:tcPr>
            <w:tcW w:type="dxa" w:w="910"/>
            <w:shd w:val="clear" w:color="auto" w:fill="374151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20"/>
              </w:rPr>
              <w:t>ID</w:t>
            </w:r>
          </w:p>
        </w:tc>
        <w:tc>
          <w:tcPr>
            <w:tcW w:type="dxa" w:w="1112"/>
            <w:shd w:val="clear" w:color="auto" w:fill="374151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20"/>
              </w:rPr>
              <w:t>Priority</w:t>
            </w:r>
          </w:p>
        </w:tc>
        <w:tc>
          <w:tcPr>
            <w:tcW w:type="dxa" w:w="7004"/>
            <w:shd w:val="clear" w:color="auto" w:fill="374151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20"/>
              </w:rPr>
              <w:t>Requirement</w:t>
            </w:r>
          </w:p>
        </w:tc>
      </w:tr>
      <w:tr>
        <w:tc>
          <w:tcPr>
            <w:tcW w:type="dxa" w:w="910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BR-001</w:t>
            </w:r>
          </w:p>
        </w:tc>
        <w:tc>
          <w:tcPr>
            <w:tcW w:type="dxa" w:w="1112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Must</w:t>
            </w:r>
          </w:p>
        </w:tc>
        <w:tc>
          <w:tcPr>
            <w:tcW w:type="dxa" w:w="7004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Progress tracking: student lesson completions and rank progression.</w:t>
            </w:r>
          </w:p>
        </w:tc>
      </w:tr>
      <w:tr>
        <w:tc>
          <w:tcPr>
            <w:tcW w:type="dxa" w:w="910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BR-002</w:t>
            </w:r>
          </w:p>
        </w:tc>
        <w:tc>
          <w:tcPr>
            <w:tcW w:type="dxa" w:w="1112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Must</w:t>
            </w:r>
          </w:p>
        </w:tc>
        <w:tc>
          <w:tcPr>
            <w:tcW w:type="dxa" w:w="7004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Curriculum management process: periodic lesson review, propose, approve, incremental improvement, with distinct Teacher (propose) and Approver (approve) roles.</w:t>
            </w:r>
          </w:p>
        </w:tc>
      </w:tr>
      <w:tr>
        <w:tc>
          <w:tcPr>
            <w:tcW w:type="dxa" w:w="910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BR-003</w:t>
            </w:r>
          </w:p>
        </w:tc>
        <w:tc>
          <w:tcPr>
            <w:tcW w:type="dxa" w:w="1112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Must</w:t>
            </w:r>
          </w:p>
        </w:tc>
        <w:tc>
          <w:tcPr>
            <w:tcW w:type="dxa" w:w="7004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Safeguarding/consent/DBS tracking (medical info, photo/media consent, DBS checks) managed inside the system — a hard requirement, not a nice-to-have.</w:t>
            </w:r>
          </w:p>
        </w:tc>
      </w:tr>
      <w:tr>
        <w:tc>
          <w:tcPr>
            <w:tcW w:type="dxa" w:w="910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BR-004</w:t>
            </w:r>
          </w:p>
        </w:tc>
        <w:tc>
          <w:tcPr>
            <w:tcW w:type="dxa" w:w="1112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Must</w:t>
            </w:r>
          </w:p>
        </w:tc>
        <w:tc>
          <w:tcPr>
            <w:tcW w:type="dxa" w:w="7004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Certificates (per lesson completion) and badges (per rank promotion) as real tracked records.</w:t>
            </w:r>
          </w:p>
        </w:tc>
      </w:tr>
      <w:tr>
        <w:tc>
          <w:tcPr>
            <w:tcW w:type="dxa" w:w="910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BR-005</w:t>
            </w:r>
          </w:p>
        </w:tc>
        <w:tc>
          <w:tcPr>
            <w:tcW w:type="dxa" w:w="1112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Must</w:t>
            </w:r>
          </w:p>
        </w:tc>
        <w:tc>
          <w:tcPr>
            <w:tcW w:type="dxa" w:w="7004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Parent engagement: dashboard and proactive notifications.</w:t>
            </w:r>
          </w:p>
        </w:tc>
      </w:tr>
      <w:tr>
        <w:tc>
          <w:tcPr>
            <w:tcW w:type="dxa" w:w="910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BR-006</w:t>
            </w:r>
          </w:p>
        </w:tc>
        <w:tc>
          <w:tcPr>
            <w:tcW w:type="dxa" w:w="1112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Must</w:t>
            </w:r>
          </w:p>
        </w:tc>
        <w:tc>
          <w:tcPr>
            <w:tcW w:type="dxa" w:w="7004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Reporting: progress reports and at-risk/disengaged student flagging.</w:t>
            </w:r>
          </w:p>
        </w:tc>
      </w:tr>
      <w:tr>
        <w:tc>
          <w:tcPr>
            <w:tcW w:type="dxa" w:w="910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—</w:t>
            </w:r>
          </w:p>
        </w:tc>
        <w:tc>
          <w:tcPr>
            <w:tcW w:type="dxa" w:w="1112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Deferred</w:t>
            </w:r>
          </w:p>
        </w:tc>
        <w:tc>
          <w:tcPr>
            <w:tcW w:type="dxa" w:w="7004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At-home learning encouragement (resources/assignments between formal sessions) — not MVP; no BR-nnn assigned yet.</w:t>
            </w:r>
          </w:p>
        </w:tc>
      </w:tr>
    </w:tbl>
    <w:p>
      <w:pPr>
        <w:spacing w:after="80"/>
      </w:pPr>
    </w:p>
    <w:p>
      <w:pPr>
        <w:spacing w:after="120" w:before="0"/>
      </w:pPr>
      <w:r>
        <w:rPr>
          <w:rFonts w:ascii="Arial" w:hAnsi="Arial"/>
          <w:b w:val="0"/>
          <w:i/>
          <w:color w:val="A83E00"/>
          <w:sz w:val="22"/>
        </w:rPr>
        <w:t>[TBC – owner: Philip] Auto-promotion logic is carried over as a hypothesis from the prior build and requires confirmation (business-requirements.md).</w:t>
      </w:r>
    </w:p>
    <w:p>
      <w:pPr>
        <w:keepNext/>
        <w:spacing w:before="280" w:after="120"/>
        <w:outlineLvl w:val="0"/>
      </w:pPr>
      <w:r>
        <w:rPr>
          <w:rFonts w:ascii="Arial" w:hAnsi="Arial"/>
          <w:b/>
          <w:color w:val="111827"/>
          <w:sz w:val="32"/>
        </w:rPr>
        <w:t>7. Success metrics &amp; benefits</w:t>
      </w:r>
    </w:p>
    <w:p>
      <w:pPr>
        <w:spacing w:after="120" w:before="0"/>
      </w:pPr>
      <w:r>
        <w:rPr>
          <w:rFonts w:ascii="Arial" w:hAnsi="Arial"/>
          <w:b w:val="0"/>
          <w:i w:val="0"/>
          <w:sz w:val="22"/>
        </w:rPr>
        <w:t>Deliberately modest success criteria: the spreadsheet is retired, and safeguarding/consent and progress data is reliably tracked without incident. No specific engagement KPI is set at this stage.</w:t>
      </w:r>
    </w:p>
    <w:p>
      <w:pPr>
        <w:keepNext/>
        <w:spacing w:before="280" w:after="120"/>
        <w:outlineLvl w:val="0"/>
      </w:pPr>
      <w:r>
        <w:rPr>
          <w:rFonts w:ascii="Arial" w:hAnsi="Arial"/>
          <w:b/>
          <w:color w:val="111827"/>
          <w:sz w:val="32"/>
        </w:rPr>
        <w:t>8. Scope (in / out)</w:t>
      </w:r>
    </w:p>
    <w:p>
      <w:pPr>
        <w:spacing w:after="120" w:before="0"/>
      </w:pPr>
      <w:r>
        <w:rPr>
          <w:rFonts w:ascii="Arial" w:hAnsi="Arial"/>
          <w:b w:val="0"/>
          <w:i w:val="0"/>
          <w:sz w:val="22"/>
        </w:rPr>
        <w:t>In scope (MVP): BR-001 to BR-006 above. Out of scope / deferred: at-home learning encouragement. No integration with any existing membership/payments/calendar/booking system (integration.md); no data migration from prior spreadsheets — clean start (A-003).</w:t>
      </w:r>
    </w:p>
    <w:p>
      <w:pPr>
        <w:keepNext/>
        <w:spacing w:before="280" w:after="120"/>
        <w:outlineLvl w:val="0"/>
      </w:pPr>
      <w:r>
        <w:rPr>
          <w:rFonts w:ascii="Arial" w:hAnsi="Arial"/>
          <w:b/>
          <w:color w:val="111827"/>
          <w:sz w:val="32"/>
        </w:rPr>
        <w:t>9. Constraints &amp; dependencies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Platform: .NET, confirmed stack per ADR-0001 (Blazor Web App + Azure App Service + Azure SQL Database + Microsoft Entra External ID + Azure Blob Storage + Azure Communication Services Email + QuestPDF).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Access: must work via phone, tablet, and browser.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No hard budget ceiling or fixed go-live date; sustainable pace, low ongoing hosting cost preferred, not a hard cap.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Team: solo developer (Philip); no other delivery resource.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D-001: certificate PDF template design and document-generation approach — not yet finalised.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D-002: outbound transactional email provider — raid.md records this as not yet selected, though ADR-0001 has since selected Azure Communication Services Email; the dependency register has not yet been closed out.</w:t>
      </w:r>
    </w:p>
    <w:p>
      <w:pPr>
        <w:keepNext/>
        <w:spacing w:before="280" w:after="120"/>
        <w:outlineLvl w:val="0"/>
      </w:pPr>
      <w:r>
        <w:rPr>
          <w:rFonts w:ascii="Arial" w:hAnsi="Arial"/>
          <w:b/>
          <w:color w:val="111827"/>
          <w:sz w:val="32"/>
        </w:rPr>
        <w:t>10. Risks summary</w:t>
      </w:r>
    </w:p>
    <w:p>
      <w:pPr>
        <w:spacing w:after="120" w:before="0"/>
      </w:pPr>
      <w:r>
        <w:rPr>
          <w:rFonts w:ascii="Arial" w:hAnsi="Arial"/>
          <w:b w:val="0"/>
          <w:i w:val="0"/>
          <w:sz w:val="22"/>
        </w:rPr>
        <w:t>R-001 (safeguarding/special-category data in-system) and R-002 (solo-developer bus-factor). Full register: VLMS-RAID.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440" w:left="1440" w:header="560" w:footer="5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26" w:val="right"/>
      </w:tabs>
    </w:pPr>
    <w:r>
      <w:rPr>
        <w:rFonts w:ascii="Arial" w:hAnsi="Arial"/>
        <w:color w:val="6B7280"/>
        <w:sz w:val="16"/>
      </w:rPr>
      <w:t>VLMS Business Requirements Document</w:t>
      <w:tab/>
    </w:r>
    <w:r>
      <w:rPr>
        <w:rFonts w:ascii="Arial" w:hAnsi="Arial"/>
        <w:color w:val="6B7280"/>
        <w:sz w:val="16"/>
      </w:rPr>
      <w:t xml:space="preserve">Page </w:t>
    </w:r>
    <w:r>
      <w:rPr>
        <w:rFonts w:ascii="Arial" w:hAnsi="Arial"/>
        <w:color w:val="6B7280"/>
        <w:sz w:val="16"/>
      </w:rP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0202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