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Project Charter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— Design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Project Charter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VLMS-CHTR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problem-statement.md, stakeholders.md, delivery-plan.md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Initial design gate release, rendered from docs/ working markdown.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spacing w:after="200" w:before="0"/>
      </w:pPr>
      <w:r>
        <w:rPr>
          <w:rFonts w:ascii="Arial" w:hAnsi="Arial"/>
          <w:b w:val="0"/>
          <w:i/>
          <w:color w:val="6B7280"/>
          <w:sz w:val="20"/>
        </w:rPr>
        <w:t>Satisfies: ISO 21502:2020 (project management guidance); PRINCE2 7 business-case and stage-boundary practice.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1. Vision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 fresh .NET rebuild of the Varangians programme's lesson/rank tracking, curriculum management and safeguarding/consent administration, replacing informal spreadsheet tracking. This is a rebuild of a previously abandoned Power Platform (SharePoint/Power Apps/Dataverse/Power Automate/Asana) implementation of the same programme; only the underlying business requirements are carried forward, not the prior tooling.</w:t>
      </w:r>
    </w:p>
    <w:p>
      <w:pPr>
        <w:spacing w:after="120" w:before="0"/>
      </w:pPr>
      <w:r>
        <w:rPr>
          <w:rFonts w:ascii="Arial" w:hAnsi="Arial"/>
          <w:b w:val="0"/>
          <w:i/>
          <w:color w:val="A83E00"/>
          <w:sz w:val="22"/>
        </w:rPr>
        <w:t>[TBC – owner: Philip] A single-line project description has not yet been agreed (problem-statement.md).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2. Objectives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Progress tracking — reliable, current tracking of each student's lesson completions and rank progression, replacing out-of-date spreadsheets.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Curriculum management process — a repeatable process to periodically review lessons, propose changes, and make incremental improvements over time.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Parent engagement — keep parents informed of their child's progress.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At-home learning — encourage learning/reinforcement outside of formal sessions (deferred; not MVP — see business-requirements.md).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3. Business justification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Current state: progress tracking and records are kept in spreadsheets that go out of date and are informal; there is no curriculum management process for reviewing or improving lesson content; there is no structured parent communication channel around a student's progress; and there is no mechanism to encourage learning between formal sessions.</w:t>
      </w:r>
    </w:p>
    <w:p>
      <w:pPr>
        <w:spacing w:after="120" w:before="0"/>
      </w:pPr>
      <w:r>
        <w:rPr>
          <w:rFonts w:ascii="Arial" w:hAnsi="Arial"/>
          <w:b w:val="0"/>
          <w:i/>
          <w:color w:val="A83E00"/>
          <w:sz w:val="22"/>
        </w:rPr>
        <w:t>[TBC – owner: Philip] A quantified cost of doing nothing has not yet been captured (problem-statement.md); the qualitative case above (from the stated drivers) is what exists today.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4. Scope summary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MVP (must-have): progress tracking (BR-001), curriculum management (BR-002), safeguarding/consent/DBS tracking (BR-003, confirmed as a hard in-system requirement, not an external process), certificates and badges (BR-004), parent engagement (BR-005), reporting (BR-006). Deferred: at-home learning encouragement (resources/assignments for use between sessions).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5. Governance and stakeholders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Philip is sponsor, owner, sole developer, and sole decision-maker/reviewer for requirements and sign-off. No other party has a formal say in requirements or sign-off. This is distinct from the system's user base, which is multi-role.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8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62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Admin / Leader (Philip)</w:t>
            </w:r>
          </w:p>
        </w:tc>
        <w:tc>
          <w:tcPr>
            <w:tcW w:type="dxa" w:w="62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Full access; programme administration.</w:t>
            </w:r>
          </w:p>
        </w:tc>
      </w:tr>
      <w:tr>
        <w:tc>
          <w:tcPr>
            <w:tcW w:type="dxa" w:w="28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</w:t>
            </w:r>
          </w:p>
        </w:tc>
        <w:tc>
          <w:tcPr>
            <w:tcW w:type="dxa" w:w="62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Marks lesson completions; proposes curriculum changes.</w:t>
            </w:r>
          </w:p>
        </w:tc>
      </w:tr>
      <w:tr>
        <w:tc>
          <w:tcPr>
            <w:tcW w:type="dxa" w:w="28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2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Curriculum/lesson-change approval only — no role in consent or DBS approval, no access to DBS records.</w:t>
            </w:r>
          </w:p>
        </w:tc>
      </w:tr>
      <w:tr>
        <w:tc>
          <w:tcPr>
            <w:tcW w:type="dxa" w:w="28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Parent / Guardian</w:t>
            </w:r>
          </w:p>
        </w:tc>
        <w:tc>
          <w:tcPr>
            <w:tcW w:type="dxa" w:w="62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Views own child(ren)'s progress; receives notifications; submits consent.</w:t>
            </w:r>
          </w:p>
        </w:tc>
      </w:tr>
      <w:tr>
        <w:tc>
          <w:tcPr>
            <w:tcW w:type="dxa" w:w="28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Student</w:t>
            </w:r>
          </w:p>
        </w:tc>
        <w:tc>
          <w:tcPr>
            <w:tcW w:type="dxa" w:w="62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Views own record.</w:t>
            </w:r>
          </w:p>
        </w:tc>
      </w:tr>
      <w:tr>
        <w:tc>
          <w:tcPr>
            <w:tcW w:type="dxa" w:w="28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Safeguarding Officer</w:t>
            </w:r>
          </w:p>
        </w:tc>
        <w:tc>
          <w:tcPr>
            <w:tcW w:type="dxa" w:w="62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Safeguarding/consent/DBS oversight; one of only two roles (with Admin) with access to DBS records.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Scale: small — tens of users per role (not hundreds), at launch and expected over approximately two years (A-002).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6. High-level approach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Blazor Web App (PWA) on Azure App Service (Linux), Azure SQL Database, Microsoft Entra External ID, Azure Blob Storage, Azure Communication Services Email, and QuestPDF for certificate generation — see ADR-0001 (VLMS-ADR) for the full decision record and rejected alternatives.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7. Indicative phases and milestones</w:t>
      </w:r>
    </w:p>
    <w:p>
      <w:pPr>
        <w:spacing w:after="120" w:before="0"/>
      </w:pPr>
      <w:r>
        <w:rPr>
          <w:rFonts w:ascii="Arial" w:hAnsi="Arial"/>
          <w:b w:val="0"/>
          <w:i/>
          <w:color w:val="A83E00"/>
          <w:sz w:val="22"/>
        </w:rPr>
        <w:t>[TBC – owner: Philip] delivery-plan.md is not yet started; phases, milestones and a delivery schedule have not been agreed.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8. Success criteria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Deliberately modest at this stage: the spreadsheet is retired, and safeguarding/consent and progress data is reliably tracked in the system without incident. No specific engagement KPI (e.g. parent login frequency) is being set at this stage.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9. High-level risks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12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78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Risk</w:t>
            </w:r>
          </w:p>
        </w:tc>
      </w:tr>
      <w:tr>
        <w:tc>
          <w:tcPr>
            <w:tcW w:type="dxa" w:w="12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R-001</w:t>
            </w:r>
          </w:p>
        </w:tc>
        <w:tc>
          <w:tcPr>
            <w:tcW w:type="dxa" w:w="78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Special-category/children's data (safeguarding, medical, consent, DBS) is managed in-system; a data-protection failure has real safeguarding consequences, not just reputational cost.</w:t>
            </w:r>
          </w:p>
        </w:tc>
      </w:tr>
      <w:tr>
        <w:tc>
          <w:tcPr>
            <w:tcW w:type="dxa" w:w="12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R-002</w:t>
            </w:r>
          </w:p>
        </w:tc>
        <w:tc>
          <w:tcPr>
            <w:tcW w:type="dxa" w:w="78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Solo developer/maintainer — no delivery redundancy. Bus-factor risk for ongoing operation and support.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Full register: VLMS-RAID.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10. Gate / decision structure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Design gate (this package) → approval triggers handover to loop-harness for implementation → delivery gate (go/no-go to release). Philip is the sole decision-maker/reviewer at every gate.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Project Charter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