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Low-Level Design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— Design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Low-Level Design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VLMS-LLD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design/low-level-design.md, design/data-design.md, design/integration.md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Initial design gate release, rendered from docs/ working markdown.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spacing w:after="200" w:before="0"/>
      </w:pPr>
      <w:r>
        <w:rPr>
          <w:rFonts w:ascii="Arial" w:hAnsi="Arial"/>
          <w:b w:val="0"/>
          <w:i/>
          <w:color w:val="6B7280"/>
          <w:sz w:val="20"/>
        </w:rPr>
        <w:t>Satisfies: ISO/IEC/IEEE 42010:2022. Data model kept identical to the data requirements referenced by VLMS-SRS.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1. Component responsibilities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2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68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2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Vlms.Web</w:t>
            </w:r>
          </w:p>
        </w:tc>
        <w:tc>
          <w:tcPr>
            <w:tcW w:type="dxa" w:w="68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The Blazor Web App — UI, Razor components, authorization policies, WebJob host.</w:t>
            </w:r>
          </w:p>
        </w:tc>
      </w:tr>
      <w:tr>
        <w:tc>
          <w:tcPr>
            <w:tcW w:type="dxa" w:w="22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Vlms.Domain</w:t>
            </w:r>
          </w:p>
        </w:tc>
        <w:tc>
          <w:tcPr>
            <w:tcW w:type="dxa" w:w="68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Entities (section 2), domain logic (promotion rules, proposal state machine).</w:t>
            </w:r>
          </w:p>
        </w:tc>
      </w:tr>
      <w:tr>
        <w:tc>
          <w:tcPr>
            <w:tcW w:type="dxa" w:w="22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Vlms.Infrastructure</w:t>
            </w:r>
          </w:p>
        </w:tc>
        <w:tc>
          <w:tcPr>
            <w:tcW w:type="dxa" w:w="68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EF Core DbContext, Azure Blob Storage client, Azure Communication Services Email client, QuestPDF certificate generation.</w:t>
            </w:r>
          </w:p>
        </w:tc>
      </w:tr>
      <w:tr>
        <w:tc>
          <w:tcPr>
            <w:tcW w:type="dxa" w:w="22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Vlms.Tests</w:t>
            </w:r>
          </w:p>
        </w:tc>
        <w:tc>
          <w:tcPr>
            <w:tcW w:type="dxa" w:w="68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Unit/integration tests — see VLMS-TEST.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No separate public API project — per integration.md, VLMS is standalone with no external system needing programmatic access. If that changes, a Vlms.Api project can be split out later without redesigning the domain/infrastructure layers.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2. Data model and contracts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3009"/>
        <w:gridCol w:w="3009"/>
        <w:gridCol w:w="3009"/>
      </w:tblGrid>
      <w:tr>
        <w:tc>
          <w:tcPr>
            <w:tcW w:type="dxa" w:w="17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3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38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Rank</w:t>
            </w:r>
          </w:p>
        </w:tc>
        <w:tc>
          <w:tcPr>
            <w:tcW w:type="dxa" w:w="3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Id, Order, Code, Name</w:t>
            </w:r>
          </w:p>
        </w:tc>
        <w:tc>
          <w:tcPr>
            <w:tcW w:type="dxa" w:w="38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The 10-level progression ladder.</w:t>
            </w:r>
          </w:p>
        </w:tc>
      </w:tr>
      <w:tr>
        <w:tc>
          <w:tcPr>
            <w:tcW w:type="dxa" w:w="175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Lesson</w:t>
            </w:r>
          </w:p>
        </w:tc>
        <w:tc>
          <w:tcPr>
            <w:tcW w:type="dxa" w:w="3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Id, RankId, Code, Title, ContentBlobKey, IsActive</w:t>
            </w:r>
          </w:p>
        </w:tc>
        <w:tc>
          <w:tcPr>
            <w:tcW w:type="dxa" w:w="387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Current live version of a lesson's content.</w:t>
            </w:r>
          </w:p>
        </w:tc>
      </w:tr>
      <w:tr>
        <w:tc>
          <w:tcPr>
            <w:tcW w:type="dxa" w:w="17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LessonChangeProposal</w:t>
            </w:r>
          </w:p>
        </w:tc>
        <w:tc>
          <w:tcPr>
            <w:tcW w:type="dxa" w:w="3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Id, LessonId (nullable), ProposedByUserId, ChangeType, ProposedContent, Status, ApproverUserId, ApprovalComments, SubmittedAt, DecidedAt, ResubmissionOfProposalId</w:t>
            </w:r>
          </w:p>
        </w:tc>
        <w:tc>
          <w:tcPr>
            <w:tcW w:type="dxa" w:w="38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Any Teacher proposes; only Approver decides. Rejection supports comments + resubmission via ResubmissionOfProposalId. Approving applies ProposedContent onto Lesson.</w:t>
            </w:r>
          </w:p>
        </w:tc>
      </w:tr>
      <w:tr>
        <w:tc>
          <w:tcPr>
            <w:tcW w:type="dxa" w:w="175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Student</w:t>
            </w:r>
          </w:p>
        </w:tc>
        <w:tc>
          <w:tcPr>
            <w:tcW w:type="dxa" w:w="3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Id, Name, DOB, CurrentRankId, Status, EnrolmentDate, AssignedTeacherUserId</w:t>
            </w:r>
          </w:p>
        </w:tc>
        <w:tc>
          <w:tcPr>
            <w:tcW w:type="dxa" w:w="387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Duplicate-matching on Name+DOB at registration carried over as a hypothesis — [TBC confirm at build time].</w:t>
            </w:r>
          </w:p>
        </w:tc>
      </w:tr>
      <w:tr>
        <w:tc>
          <w:tcPr>
            <w:tcW w:type="dxa" w:w="17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ParentGuardian</w:t>
            </w:r>
          </w:p>
        </w:tc>
        <w:tc>
          <w:tcPr>
            <w:tcW w:type="dxa" w:w="3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Id, Name, ContactInfo, IsPrimary</w:t>
            </w:r>
          </w:p>
        </w:tc>
        <w:tc>
          <w:tcPr>
            <w:tcW w:type="dxa" w:w="38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75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StudentGuardianLink</w:t>
            </w:r>
          </w:p>
        </w:tc>
        <w:tc>
          <w:tcPr>
            <w:tcW w:type="dxa" w:w="3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StudentId, ParentGuardianId</w:t>
            </w:r>
          </w:p>
        </w:tc>
        <w:tc>
          <w:tcPr>
            <w:tcW w:type="dxa" w:w="387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Many-to-many: a parent may have several children; a student may have more than one guardian.</w:t>
            </w:r>
          </w:p>
        </w:tc>
      </w:tr>
      <w:tr>
        <w:tc>
          <w:tcPr>
            <w:tcW w:type="dxa" w:w="17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StudentLessonCompletion</w:t>
            </w:r>
          </w:p>
        </w:tc>
        <w:tc>
          <w:tcPr>
            <w:tcW w:type="dxa" w:w="3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Id, StudentId, LessonId, CompletedByUserId, CompletedAt, Note, IsReversed, ReversedAt</w:t>
            </w:r>
          </w:p>
        </w:tc>
        <w:tc>
          <w:tcPr>
            <w:tcW w:type="dxa" w:w="38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 marks and can self-correct (IsReversed/ReversedAt) — no separate Admin correction gate.</w:t>
            </w:r>
          </w:p>
        </w:tc>
      </w:tr>
      <w:tr>
        <w:tc>
          <w:tcPr>
            <w:tcW w:type="dxa" w:w="175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Certificate</w:t>
            </w:r>
          </w:p>
        </w:tc>
        <w:tc>
          <w:tcPr>
            <w:tcW w:type="dxa" w:w="3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Id, StudentLessonCompletionId, GeneratedAt, BlobKey (PDF)</w:t>
            </w:r>
          </w:p>
        </w:tc>
        <w:tc>
          <w:tcPr>
            <w:tcW w:type="dxa" w:w="387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Auto-generated on completion (QuestPDF). Real tracked record, not implicit.</w:t>
            </w:r>
          </w:p>
        </w:tc>
      </w:tr>
      <w:tr>
        <w:tc>
          <w:tcPr>
            <w:tcW w:type="dxa" w:w="17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RankBadge</w:t>
            </w:r>
          </w:p>
        </w:tc>
        <w:tc>
          <w:tcPr>
            <w:tcW w:type="dxa" w:w="3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Id, RankId, ImageBlobKey</w:t>
            </w:r>
          </w:p>
        </w:tc>
        <w:tc>
          <w:tcPr>
            <w:tcW w:type="dxa" w:w="38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One badge per rank.</w:t>
            </w:r>
          </w:p>
        </w:tc>
      </w:tr>
      <w:tr>
        <w:tc>
          <w:tcPr>
            <w:tcW w:type="dxa" w:w="175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StudentBadge</w:t>
            </w:r>
          </w:p>
        </w:tc>
        <w:tc>
          <w:tcPr>
            <w:tcW w:type="dxa" w:w="3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Id, StudentId, RankBadgeId, AwardedAt</w:t>
            </w:r>
          </w:p>
        </w:tc>
        <w:tc>
          <w:tcPr>
            <w:tcW w:type="dxa" w:w="387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Awarded on promotion. Real tracked record, not implicit.</w:t>
            </w:r>
          </w:p>
        </w:tc>
      </w:tr>
      <w:tr>
        <w:tc>
          <w:tcPr>
            <w:tcW w:type="dxa" w:w="17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StudentRankProgress</w:t>
            </w:r>
          </w:p>
        </w:tc>
        <w:tc>
          <w:tcPr>
            <w:tcW w:type="dxa" w:w="3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Id, StudentId, RankId, StartedAt, CompletedAt</w:t>
            </w:r>
          </w:p>
        </w:tc>
        <w:tc>
          <w:tcPr>
            <w:tcW w:type="dxa" w:w="38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Promotion history; new row starts when a student enters a rank, closes on completion.</w:t>
            </w:r>
          </w:p>
        </w:tc>
      </w:tr>
      <w:tr>
        <w:tc>
          <w:tcPr>
            <w:tcW w:type="dxa" w:w="175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ConsentRecord</w:t>
            </w:r>
          </w:p>
        </w:tc>
        <w:tc>
          <w:tcPr>
            <w:tcW w:type="dxa" w:w="3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Id, StudentId, PeriodStart, PeriodEnd, PhotoMediaConsent, EmergencyMedicalInfo*, DietarySEN*, TransportOffsiteConsent, DataSharingConsent, EmergencyContact*, Status, SubmittedByParentId, ApprovedByUserId, ExpiryDate</w:t>
            </w:r>
          </w:p>
        </w:tc>
        <w:tc>
          <w:tcPr>
            <w:tcW w:type="dxa" w:w="387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* = sensitive, column-level masked. Annual renewal. Expiry blocks StudentLessonCompletion creation for that student. ApprovedByUserId is Safeguarding Officer or Admin — not the Approver role.</w:t>
            </w:r>
          </w:p>
        </w:tc>
      </w:tr>
      <w:tr>
        <w:tc>
          <w:tcPr>
            <w:tcW w:type="dxa" w:w="17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DbsCheck</w:t>
            </w:r>
          </w:p>
        </w:tc>
        <w:tc>
          <w:tcPr>
            <w:tcW w:type="dxa" w:w="3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Id, TeacherUserId, CheckDate, ExpiryDate, CertificateNumber*, Status</w:t>
            </w:r>
          </w:p>
        </w:tc>
        <w:tc>
          <w:tcPr>
            <w:tcW w:type="dxa" w:w="38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* = sensitive. Access restricted entirely to Safeguarding Officer and Admin — Teacher and Approver have no access at all (whole record, not just masked fields).</w:t>
            </w:r>
          </w:p>
        </w:tc>
      </w:tr>
      <w:tr>
        <w:tc>
          <w:tcPr>
            <w:tcW w:type="dxa" w:w="175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AppUser</w:t>
            </w:r>
          </w:p>
        </w:tc>
        <w:tc>
          <w:tcPr>
            <w:tcW w:type="dxa" w:w="3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Id, EntraObjectId, DisplayName, Email</w:t>
            </w:r>
          </w:p>
        </w:tc>
        <w:tc>
          <w:tcPr>
            <w:tcW w:type="dxa" w:w="387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Maps to the Entra External ID identity.</w:t>
            </w:r>
          </w:p>
        </w:tc>
      </w:tr>
      <w:tr>
        <w:tc>
          <w:tcPr>
            <w:tcW w:type="dxa" w:w="17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UserRole</w:t>
            </w:r>
          </w:p>
        </w:tc>
        <w:tc>
          <w:tcPr>
            <w:tcW w:type="dxa" w:w="3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UserId, Role</w:t>
            </w:r>
          </w:p>
        </w:tc>
        <w:tc>
          <w:tcPr>
            <w:tcW w:type="dxa" w:w="38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Role in {Admin, Teacher, Approver, Parent, Student, SafeguardingOfficer}. A single user may hold more than one role.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2.1 Relationships (summary)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Rank 1:N Lesson, 1:N RankBadge.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Lesson 1:N LessonChangeProposal, 1:N StudentLessonCompletion.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Student 1:N StudentLessonCompletion, 1:N StudentRankProgress, 1:N StudentBadge, 1:N ConsentRecord; N:N ParentGuardian via StudentGuardianLink.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StudentLessonCompletion 1:1 Certificate (nullable until generated).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AppUser 1:N UserRole; referenced by Student.AssignedTeacherUserId, LessonChangeProposal.ProposedByUserId/ApproverUserId, StudentLessonCompletion.CompletedByUserId, ConsentRecord.ApprovedByUserId, DbsCheck.TeacherUserId.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3. Interface specifications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No external-facing endpoints — no public API project (section 1). Internal domain service contracts: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6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64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Key operations</w:t>
            </w:r>
          </w:p>
        </w:tc>
      </w:tr>
      <w:tr>
        <w:tc>
          <w:tcPr>
            <w:tcW w:type="dxa" w:w="26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LessonProposalService</w:t>
            </w:r>
          </w:p>
        </w:tc>
        <w:tc>
          <w:tcPr>
            <w:tcW w:type="dxa" w:w="6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Create/submit a proposal; Approve(proposalId, approverUserId); Reject(proposalId, approverUserId, comments).</w:t>
            </w:r>
          </w:p>
        </w:tc>
      </w:tr>
      <w:tr>
        <w:tc>
          <w:tcPr>
            <w:tcW w:type="dxa" w:w="26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CompletionService</w:t>
            </w:r>
          </w:p>
        </w:tc>
        <w:tc>
          <w:tcPr>
            <w:tcW w:type="dxa" w:w="6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MarkComplete(studentId, lessonId, teacherUserId, note?) — blocked if active ConsentRecord is expired/missing.</w:t>
            </w:r>
          </w:p>
        </w:tc>
      </w:tr>
      <w:tr>
        <w:tc>
          <w:tcPr>
            <w:tcW w:type="dxa" w:w="26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PromotionService</w:t>
            </w:r>
          </w:p>
        </w:tc>
        <w:tc>
          <w:tcPr>
            <w:tcW w:type="dxa" w:w="6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Checks all active Lessons in CurrentRankId complete; closes/opens StudentRankProgress rows; advances Student.CurrentRankId; awards RankBadge; sets Status = Graduated at final rank.</w:t>
            </w:r>
          </w:p>
        </w:tc>
      </w:tr>
      <w:tr>
        <w:tc>
          <w:tcPr>
            <w:tcW w:type="dxa" w:w="26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CertificateService</w:t>
            </w:r>
          </w:p>
        </w:tc>
        <w:tc>
          <w:tcPr>
            <w:tcW w:type="dxa" w:w="6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Generate(...) — QuestPDF from template, uploads to Blob Storage, writes Certificate row.</w:t>
            </w:r>
          </w:p>
        </w:tc>
      </w:tr>
      <w:tr>
        <w:tc>
          <w:tcPr>
            <w:tcW w:type="dxa" w:w="26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ConsentExpiryJob</w:t>
            </w:r>
          </w:p>
        </w:tc>
        <w:tc>
          <w:tcPr>
            <w:tcW w:type="dxa" w:w="6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Scheduled (WebJob) daily sweep — flags expiring/expired consents/DBS, triggers notifications, escalates to Admin/Safeguarding Officer; also runs at-risk (8-week) flagging.</w:t>
            </w:r>
          </w:p>
        </w:tc>
      </w:tr>
      <w:tr>
        <w:tc>
          <w:tcPr>
            <w:tcW w:type="dxa" w:w="26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NotificationService</w:t>
            </w:r>
          </w:p>
        </w:tc>
        <w:tc>
          <w:tcPr>
            <w:tcW w:type="dxa" w:w="6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Wraps Azure Communication Services Email for completion/promotion confirmations, expiry reminders, at-risk flags.</w:t>
            </w:r>
          </w:p>
        </w:tc>
      </w:tr>
    </w:tbl>
    <w:p>
      <w:pPr>
        <w:spacing w:after="80"/>
      </w:pP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4. Processing logic for core flows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Lesson completion: CompletionService.MarkComplete → consent-validity check (block if expired/missing) → record StudentLessonCompletion → PromotionService check → CertificateService.Generate.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Curriculum change: Teacher proposes (LessonProposalService) → Approver Approve (applies ProposedContent to Lesson) or Reject (with comments) → Teacher may resubmit via ResubmissionOfProposalId.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Consent/DBS expiry: ConsentExpiryJob daily sweep → flags expiring/expired records → NotificationService sends reminders/escalations.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At-risk flagging: ConsentExpiryJob sweep also checks for no lesson completion within 8 weeks → surfaces to Admin.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5. Validation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Expired or missing consent blocks StudentLessonCompletion creation for that student (hard business rule).</w:t>
      </w:r>
    </w:p>
    <w:p>
      <w:pPr>
        <w:spacing w:after="120" w:before="0"/>
      </w:pPr>
      <w:r>
        <w:rPr>
          <w:rFonts w:ascii="Arial" w:hAnsi="Arial"/>
          <w:b w:val="0"/>
          <w:i/>
          <w:color w:val="A83E00"/>
          <w:sz w:val="22"/>
        </w:rPr>
        <w:t>[TBC – owner: Philip] Field-level validation rules beyond the consent-blocking rule (e.g. required fields, formats) are not yet specified in low-level-design.md.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6. Error handling and retry policy</w:t>
      </w:r>
    </w:p>
    <w:p>
      <w:pPr>
        <w:spacing w:after="120" w:before="0"/>
      </w:pPr>
      <w:r>
        <w:rPr>
          <w:rFonts w:ascii="Arial" w:hAnsi="Arial"/>
          <w:b w:val="0"/>
          <w:i/>
          <w:color w:val="A83E00"/>
          <w:sz w:val="22"/>
        </w:rPr>
        <w:t>[TBC – owner: Philip] Error handling and retry policy (e.g. for Blob Storage or email delivery failures) is not yet specified in low-level-design.md.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7. Security implementation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Authentication: Microsoft Entra External ID (OIDC), per ADR-0001. Authorization: role-based (UserRole.Role) via ASP.NET Core authorization policies, plus resource-based checks: a Parent may only view/act on Student records linked via StudentGuardianLink; a Student may only view their own record; a Teacher sees all students in the programme (confirmed) — not scoped to Student.AssignedTeacherUserId, so teachers can cover for each other.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Column-level masking and whole-record access restriction: enforced at the data-access layer (a query-shaping method per sensitive field set / entity, keyed by caller's role) rather than database-level column encryption, to keep the solo-maintainer surface area small. DbsCheck is restricted entirely to Admin/Safeguarding Officer; ConsentRecord's sensitive fields are masked from Teacher and Approver.</w:t>
      </w:r>
    </w:p>
    <w:p>
      <w:pPr>
        <w:spacing w:after="120" w:before="0"/>
      </w:pPr>
      <w:r>
        <w:rPr>
          <w:rFonts w:ascii="Arial" w:hAnsi="Arial"/>
          <w:b w:val="0"/>
          <w:i/>
          <w:color w:val="A83E00"/>
          <w:sz w:val="22"/>
        </w:rPr>
        <w:t>[TBC – owner: Philip] Whether this satisfies the OWASP ASVS 5.0 access-control chapter is to be confirmed at build time.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8. Execution &amp; invocation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The web app runs as a single Azure App Service (Linux) process. The ConsentExpiryJob runs as an Azure App Service WebJob co-located with the web app (decided — no separate Azure resource, matching the solo-maintainer preference for fewest moving parts, raid.md R-002). There is no separate API surface or externally invocable interface; all invocation is either interactive (Blazor UI) or the daily scheduled sweep.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9. Diagrams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Component/container diagram: see VLMS-SDA section 3 (C4 context/containers) — the solution structure in section 1 above maps directly onto that diagram's "Web app" container.</w:t>
      </w:r>
    </w:p>
    <w:p>
      <w:pPr>
        <w:spacing w:after="120" w:before="0"/>
      </w:pPr>
      <w:r>
        <w:rPr>
          <w:rFonts w:ascii="Arial" w:hAnsi="Arial"/>
          <w:b w:val="0"/>
          <w:i/>
          <w:color w:val="A83E00"/>
          <w:sz w:val="22"/>
        </w:rPr>
        <w:t>[TBC – owner: Philip] A dedicated sequence/execution diagram for the core flows in section 4 has not yet been drawn; the flows above are documented as ordered textual steps only.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10. Data ownership &amp; lifecycle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System of record: this database is authoritative for all entities above (no external source of truth, per integration.md). Retention: student records (including consent, medical/dietary/SEN data) retained 3 years from the student leaving/graduating the programme. DBS checks are held against Teachers, not students, and are retained 6 years after expiry/the teacher leaving. No migration — clean start (A-003).</w:t>
      </w:r>
    </w:p>
    <w:p>
      <w:pPr>
        <w:spacing w:after="120" w:before="0"/>
      </w:pPr>
      <w:r>
        <w:rPr>
          <w:rFonts w:ascii="Arial" w:hAnsi="Arial"/>
          <w:b w:val="0"/>
          <w:i/>
          <w:color w:val="A83E00"/>
          <w:sz w:val="22"/>
        </w:rPr>
        <w:t>[TBC – owner: Philip] Deletion mechanism (hard delete vs anonymisation) and enforcement (manual admin process vs automated purge job) is not yet decided (security-compliance.md).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Low-Level Design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