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Non-Functional Requirements Specification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Non-Functional Requirements Specification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VLMS-NFR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non-functional.md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color w:val="6B7280"/>
          <w:sz w:val="20"/>
        </w:rPr>
        <w:t>Satisfies: ISO/IEC 25010:2023 (product quality characteristics, used as the completeness checklist); OWASP ASVS 5.0; WCAG 2.2.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1. Performance efficiency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Not yet explicitly walked. Scale is small (tens of users per role — see stakeholders.md), so demanding performance/throughput targets are unlikely to be the binding constraint, but no target has been set.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2. Reliability / availability — NFR-003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Best-effort — no formal uptime SLA/RPO/RTO target. Brief downtime for deploys/maintenance is acceptable. Must reliably work during actual usage windows (evenings/weekends around sessions). Traced to: ADR-0001 (App Service tier choice). Verification method: informal — monitored during real usage windows; no formal SLA measurement in place.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3. Security — NFR-001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Column-level access control/masking on sensitive fields, and audit logging of access, carried forward as a hypothesis from the prior build. Implemented at design as a data-access-layer query-shaping mechanism (see VLMS-LLD, authorization model): DbsCheck restricted entirely to Admin/Safeguarding Officer; ConsentRecord sensitive fields masked from Teacher and Approver. Traced to: BR-003, governance/security-compliance.md. Verification method: access-control test cases (TC-006, TC-007, TC-008, VLMS-TEST).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Whether this satisfies the OWASP ASVS 5.0 access-control chapter is to be confirmed at build time (low-level-design.md); a formal audit-logging NFR has not yet been confirmed as a discrete NFR-nnn.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4. Interaction capability / accessibility — NFR-002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WCAG 2.2 AA conformance — a firm, testable NFR (not just a good-practice aspiration), given parents and students of varying ability use the system. Verification method: automated tooling plus manual spot-check (VLMS-TEST).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5. Maintainability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Not yet explicitly walked as a discrete NFR, beyond the general solo-maintainer design preference recorded in the architecture (VLMS-SDA) and ADR-0001.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6. Compatibility</w:t>
      </w:r>
    </w:p>
    <w:p>
      <w:pPr>
        <w:spacing w:after="120" w:before="0"/>
      </w:pPr>
      <w:r>
        <w:rPr>
          <w:rFonts w:ascii="Arial" w:hAnsi="Arial"/>
          <w:b w:val="0"/>
          <w:i/>
          <w:color w:val="A83E00"/>
          <w:sz w:val="22"/>
        </w:rPr>
        <w:t>[TBC – owner: Philip] Not yet explicitly walked as a discrete NFR. Constraints.md records that the system must work via phone, tablet, and browser; this has not yet been restated as a measurable compatibility NFR (e.g. specific browser/OS matrix).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7. Flexibility / scalability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Scale remains tens of users per role over the ~2-year horizon (A-002); the architecture is not being designed for hundreds/thousands of users. Starting Azure tiers (App Service B1, SQL Basic/S0) are sized accordingly; scaling up is a configuration change, not a redesign, if usage grows materially (ADR-0001).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8. Safety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Not applicable — VLMS has no safety-critical control functions (stated explicitly per standards.md application notes, rather than omitted silently).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Non-Functional Requirements Specification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