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200"/>
      </w:pPr>
      <w:r>
        <w:rPr>
          <w:rFonts w:ascii="Arial" w:hAnsi="Arial"/>
          <w:b/>
          <w:i w:val="0"/>
          <w:color w:val="1F2937"/>
          <w:sz w:val="48"/>
        </w:rPr>
        <w:t>VLMS RAID Log</w:t>
      </w:r>
    </w:p>
    <w:p>
      <w:pPr>
        <w:spacing w:after="40" w:before="0"/>
      </w:pPr>
      <w:r>
        <w:rPr>
          <w:rFonts w:ascii="Arial" w:hAnsi="Arial"/>
          <w:b w:val="0"/>
          <w:i w:val="0"/>
          <w:color w:val="374151"/>
          <w:sz w:val="24"/>
        </w:rPr>
        <w:t>Varangians LMS — Design Gate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7D7D9"/>
          <w:left w:val="single" w:sz="4" w:color="C7D7D9"/>
          <w:bottom w:val="single" w:sz="4" w:color="C7D7D9"/>
          <w:right w:val="single" w:sz="4" w:color="C7D7D9"/>
          <w:insideH w:val="single" w:sz="4" w:color="C7D7D9"/>
          <w:insideV w:val="single" w:sz="4" w:color="C7D7D9"/>
        </w:tblBorders>
      </w:tblPr>
      <w:tblGrid>
        <w:gridCol w:w="4513"/>
        <w:gridCol w:w="4513"/>
      </w:tblGrid>
      <w:tr>
        <w:tc>
          <w:tcPr>
            <w:tcW w:type="dxa" w:w="240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Field</w:t>
            </w:r>
          </w:p>
        </w:tc>
        <w:tc>
          <w:tcPr>
            <w:tcW w:type="dxa" w:w="6626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Detail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Document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VLMS RAID Log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Document code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VLMS-RAID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Version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1.0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Status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Design gate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Date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17 July 2026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Author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Philip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Reviewers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Philip (sole reviewer / approver)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Approver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[TBC]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Scope / phase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Design gate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Related documents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governance/raid.md</w:t>
            </w:r>
          </w:p>
        </w:tc>
      </w:tr>
    </w:tbl>
    <w:p>
      <w:pPr>
        <w:spacing w:after="80"/>
      </w:pPr>
    </w:p>
    <w:p>
      <w:pPr>
        <w:keepNext/>
        <w:spacing w:before="200" w:after="80"/>
        <w:outlineLvl w:val="1"/>
      </w:pPr>
      <w:r>
        <w:rPr>
          <w:rFonts w:ascii="Arial" w:hAnsi="Arial"/>
          <w:b/>
          <w:color w:val="1F2937"/>
          <w:sz w:val="26"/>
        </w:rPr>
        <w:t>Change History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7D7D9"/>
          <w:left w:val="single" w:sz="4" w:color="C7D7D9"/>
          <w:bottom w:val="single" w:sz="4" w:color="C7D7D9"/>
          <w:right w:val="single" w:sz="4" w:color="C7D7D9"/>
          <w:insideH w:val="single" w:sz="4" w:color="C7D7D9"/>
          <w:insideV w:val="single" w:sz="4" w:color="C7D7D9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115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Version</w:t>
            </w:r>
          </w:p>
        </w:tc>
        <w:tc>
          <w:tcPr>
            <w:tcW w:type="dxa" w:w="150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Date</w:t>
            </w:r>
          </w:p>
        </w:tc>
        <w:tc>
          <w:tcPr>
            <w:tcW w:type="dxa" w:w="270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Author</w:t>
            </w:r>
          </w:p>
        </w:tc>
        <w:tc>
          <w:tcPr>
            <w:tcW w:type="dxa" w:w="3676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Summary</w:t>
            </w:r>
          </w:p>
        </w:tc>
      </w:tr>
      <w:tr>
        <w:tc>
          <w:tcPr>
            <w:tcW w:type="dxa" w:w="115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5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17 July 2026</w:t>
            </w:r>
          </w:p>
        </w:tc>
        <w:tc>
          <w:tcPr>
            <w:tcW w:type="dxa" w:w="27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Philip</w:t>
            </w:r>
          </w:p>
        </w:tc>
        <w:tc>
          <w:tcPr>
            <w:tcW w:type="dxa" w:w="367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Initial design gate release, rendered from docs/ working markdown.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Contents</w:t>
      </w:r>
    </w:p>
    <w:p>
      <w:fldSimple w:instr="TOC \o &quot;1-2&quot; \h \z \u">
        <w:r>
          <w:t>Right-click and choose "Update Field" to build the contents.</w:t>
        </w:r>
      </w:fldSimple>
    </w:p>
    <w:p>
      <w:r>
        <w:br w:type="page"/>
      </w:r>
    </w:p>
    <w:p>
      <w:pPr>
        <w:spacing w:after="200" w:before="0"/>
      </w:pPr>
      <w:r>
        <w:rPr>
          <w:rFonts w:ascii="Arial" w:hAnsi="Arial"/>
          <w:b w:val="0"/>
          <w:i/>
          <w:color w:val="6B7280"/>
          <w:sz w:val="20"/>
        </w:rPr>
        <w:t>Satisfies: ISO 31000:2018 (risk management principles and process), applied proportionately to a solo-delivered project.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Risks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7D7D9"/>
          <w:left w:val="single" w:sz="4" w:color="C7D7D9"/>
          <w:bottom w:val="single" w:sz="4" w:color="C7D7D9"/>
          <w:right w:val="single" w:sz="4" w:color="C7D7D9"/>
          <w:insideH w:val="single" w:sz="4" w:color="C7D7D9"/>
          <w:insideV w:val="single" w:sz="4" w:color="C7D7D9"/>
        </w:tblBorders>
      </w:tblPr>
      <w:tblGrid>
        <w:gridCol w:w="3009"/>
        <w:gridCol w:w="3009"/>
        <w:gridCol w:w="3009"/>
      </w:tblGrid>
      <w:tr>
        <w:tc>
          <w:tcPr>
            <w:tcW w:type="dxa" w:w="90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ID</w:t>
            </w:r>
          </w:p>
        </w:tc>
        <w:tc>
          <w:tcPr>
            <w:tcW w:type="dxa" w:w="420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Risk</w:t>
            </w:r>
          </w:p>
        </w:tc>
        <w:tc>
          <w:tcPr>
            <w:tcW w:type="dxa" w:w="3926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Mitigation approach</w:t>
            </w:r>
          </w:p>
        </w:tc>
      </w:tr>
      <w:tr>
        <w:tc>
          <w:tcPr>
            <w:tcW w:type="dxa" w:w="9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R-001</w:t>
            </w:r>
          </w:p>
        </w:tc>
        <w:tc>
          <w:tcPr>
            <w:tcW w:type="dxa" w:w="42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Special-category/children's data (safeguarding, medical, consent, DBS) is managed in-system; a data-protection failure has real safeguarding consequences, not just reputational cost.</w:t>
            </w:r>
          </w:p>
        </w:tc>
        <w:tc>
          <w:tcPr>
            <w:tcW w:type="dxa" w:w="39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To be addressed in governance/security-compliance.md (VLMS-SEC) and via OWASP ASVS-aligned NFRs (VLMS-NFR).</w:t>
            </w:r>
          </w:p>
        </w:tc>
      </w:tr>
      <w:tr>
        <w:tc>
          <w:tcPr>
            <w:tcW w:type="dxa" w:w="9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R-002</w:t>
            </w:r>
          </w:p>
        </w:tc>
        <w:tc>
          <w:tcPr>
            <w:tcW w:type="dxa" w:w="42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Solo developer/maintainer — no delivery redundancy. Bus-factor risk for ongoing operation and support.</w:t>
            </w:r>
          </w:p>
        </w:tc>
        <w:tc>
          <w:tcPr>
            <w:tcW w:type="dxa" w:w="39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Fewest-moving-parts design preference (e.g. co-located WebJob rather than a separate Azure resource).</w:t>
            </w:r>
          </w:p>
        </w:tc>
      </w:tr>
    </w:tbl>
    <w:p>
      <w:pPr>
        <w:spacing w:after="80"/>
      </w:pP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Assumptions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7D7D9"/>
          <w:left w:val="single" w:sz="4" w:color="C7D7D9"/>
          <w:bottom w:val="single" w:sz="4" w:color="C7D7D9"/>
          <w:right w:val="single" w:sz="4" w:color="C7D7D9"/>
          <w:insideH w:val="single" w:sz="4" w:color="C7D7D9"/>
          <w:insideV w:val="single" w:sz="4" w:color="C7D7D9"/>
        </w:tblBorders>
      </w:tblPr>
      <w:tblGrid>
        <w:gridCol w:w="4513"/>
        <w:gridCol w:w="4513"/>
      </w:tblGrid>
      <w:tr>
        <w:tc>
          <w:tcPr>
            <w:tcW w:type="dxa" w:w="90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ID</w:t>
            </w:r>
          </w:p>
        </w:tc>
        <w:tc>
          <w:tcPr>
            <w:tcW w:type="dxa" w:w="8126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Assumption</w:t>
            </w:r>
          </w:p>
        </w:tc>
      </w:tr>
      <w:tr>
        <w:tc>
          <w:tcPr>
            <w:tcW w:type="dxa" w:w="9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A-001</w:t>
            </w:r>
          </w:p>
        </w:tc>
        <w:tc>
          <w:tcPr>
            <w:tcW w:type="dxa" w:w="81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No external safeguarding governing body/regulator beyond general UK law (confirmed with owner).</w:t>
            </w:r>
          </w:p>
        </w:tc>
      </w:tr>
      <w:tr>
        <w:tc>
          <w:tcPr>
            <w:tcW w:type="dxa" w:w="9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A-002</w:t>
            </w:r>
          </w:p>
        </w:tc>
        <w:tc>
          <w:tcPr>
            <w:tcW w:type="dxa" w:w="81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Scale remains "tens of users per role" over the ~2-year horizon; architecture is not being designed for hundreds/thousands of users.</w:t>
            </w:r>
          </w:p>
        </w:tc>
      </w:tr>
      <w:tr>
        <w:tc>
          <w:tcPr>
            <w:tcW w:type="dxa" w:w="9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A-003</w:t>
            </w:r>
          </w:p>
        </w:tc>
        <w:tc>
          <w:tcPr>
            <w:tcW w:type="dxa" w:w="81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No data migration from the prior spreadsheets — clean start.</w:t>
            </w:r>
          </w:p>
        </w:tc>
      </w:tr>
    </w:tbl>
    <w:p>
      <w:pPr>
        <w:spacing w:after="80"/>
      </w:pP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Issues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None currently open.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Dependencies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7D7D9"/>
          <w:left w:val="single" w:sz="4" w:color="C7D7D9"/>
          <w:bottom w:val="single" w:sz="4" w:color="C7D7D9"/>
          <w:right w:val="single" w:sz="4" w:color="C7D7D9"/>
          <w:insideH w:val="single" w:sz="4" w:color="C7D7D9"/>
          <w:insideV w:val="single" w:sz="4" w:color="C7D7D9"/>
        </w:tblBorders>
      </w:tblPr>
      <w:tblGrid>
        <w:gridCol w:w="4513"/>
        <w:gridCol w:w="4513"/>
      </w:tblGrid>
      <w:tr>
        <w:tc>
          <w:tcPr>
            <w:tcW w:type="dxa" w:w="90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ID</w:t>
            </w:r>
          </w:p>
        </w:tc>
        <w:tc>
          <w:tcPr>
            <w:tcW w:type="dxa" w:w="8126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Dependency</w:t>
            </w:r>
          </w:p>
        </w:tc>
      </w:tr>
      <w:tr>
        <w:tc>
          <w:tcPr>
            <w:tcW w:type="dxa" w:w="9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D-001</w:t>
            </w:r>
          </w:p>
        </w:tc>
        <w:tc>
          <w:tcPr>
            <w:tcW w:type="dxa" w:w="81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Certificate PDF generation requires a template design and a document-generation approach — not yet selected.</w:t>
            </w:r>
          </w:p>
        </w:tc>
      </w:tr>
      <w:tr>
        <w:tc>
          <w:tcPr>
            <w:tcW w:type="dxa" w:w="9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D-002</w:t>
            </w:r>
          </w:p>
        </w:tc>
        <w:tc>
          <w:tcPr>
            <w:tcW w:type="dxa" w:w="81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Outbound transactional email capability (notifications, reminders, certificates) — provider not yet selected.</w:t>
            </w:r>
          </w:p>
        </w:tc>
      </w:tr>
    </w:tbl>
    <w:p>
      <w:pPr>
        <w:spacing w:after="80"/>
      </w:pPr>
    </w:p>
    <w:p>
      <w:pPr>
        <w:spacing w:after="120" w:before="0"/>
      </w:pPr>
      <w:r>
        <w:rPr>
          <w:rFonts w:ascii="Arial" w:hAnsi="Arial"/>
          <w:b w:val="0"/>
          <w:i/>
          <w:color w:val="A83E00"/>
          <w:sz w:val="22"/>
        </w:rPr>
        <w:t>[TBC – owner: Philip] D-002 is recorded in raid.md as an open dependency (provider not yet selected), but ADR-0001 has since selected Azure Communication Services Email. raid.md has not yet been updated to close this out — the working markdown, not this rendered package, should be corrected.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440" w:bottom="1440" w:left="1440" w:header="560" w:footer="5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026" w:val="right"/>
      </w:tabs>
    </w:pPr>
    <w:r>
      <w:rPr>
        <w:rFonts w:ascii="Arial" w:hAnsi="Arial"/>
        <w:color w:val="6B7280"/>
        <w:sz w:val="16"/>
      </w:rPr>
      <w:t>VLMS RAID Log</w:t>
      <w:tab/>
    </w:r>
    <w:r>
      <w:rPr>
        <w:rFonts w:ascii="Arial" w:hAnsi="Arial"/>
        <w:color w:val="6B7280"/>
        <w:sz w:val="16"/>
      </w:rPr>
      <w:t xml:space="preserve">Page </w:t>
    </w:r>
    <w:r>
      <w:rPr>
        <w:rFonts w:ascii="Arial" w:hAnsi="Arial"/>
        <w:color w:val="6B7280"/>
        <w:sz w:val="16"/>
      </w:rP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20202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