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Solution Design &amp; Architecture (HLD)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Solution Design &amp; Architecture (HLD)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VLMS-SDA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design/architecture.md, adr/0001-technology-stack.md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color w:val="6B7280"/>
          <w:sz w:val="20"/>
        </w:rPr>
        <w:t>Satisfies: ISO/IEC/IEEE 42010:2022 (architecture description); C4 model; arc42.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Described per ISO/IEC/IEEE 42010:2022 from the perspective of two stakeholders/concerns: the solo developer (buildability, low ops burden) and the safeguarding/data-protection concern (who can reach what data). Decision record: VLMS-ADR (ADR-0001).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Current vs target architecture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Current: informal spreadsheet-based tracking, no structured curriculum process, no parent communication channel, no at-home reinforcement mechanism (problem-statement.md). This is a fresh .NET rebuild of a previously abandoned Power Platform (SharePoint/Power Apps/Dataverse/Power Automate/Asana) implementation of the same programme; that prior design is not carried forward.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Options considered and rejected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Full rationale in ADR-0001 (VLMS-ADR). Summary of rejected alternatives: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3009"/>
        <w:gridCol w:w="3009"/>
        <w:gridCol w:w="3009"/>
      </w:tblGrid>
      <w:tr>
        <w:tc>
          <w:tcPr>
            <w:tcW w:type="dxa" w:w="1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Concern</w:t>
            </w:r>
          </w:p>
        </w:tc>
        <w:tc>
          <w:tcPr>
            <w:tcW w:type="dxa" w:w="30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Rejected option</w:t>
            </w:r>
          </w:p>
        </w:tc>
        <w:tc>
          <w:tcPr>
            <w:tcW w:type="dxa" w:w="4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Reason</w:t>
            </w:r>
          </w:p>
        </w:tc>
      </w:tr>
      <w:tr>
        <w:tc>
          <w:tcPr>
            <w:tcW w:type="dxa" w:w="1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Client</w:t>
            </w:r>
          </w:p>
        </w:tc>
        <w:tc>
          <w:tcPr>
            <w:tcW w:type="dxa" w:w="30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.NET MAUI native app + separate Web API</w:t>
            </w:r>
          </w:p>
        </w:tc>
        <w:tc>
          <w:tcPr>
            <w:tcW w:type="dxa" w:w="4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App-store distribution/update cycles add solo-maintainer overhead disproportionate to a tens-of-users audience.</w:t>
            </w:r>
          </w:p>
        </w:tc>
      </w:tr>
      <w:tr>
        <w:tc>
          <w:tcPr>
            <w:tcW w:type="dxa" w:w="1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Identity</w:t>
            </w:r>
          </w:p>
        </w:tc>
        <w:tc>
          <w:tcPr>
            <w:tcW w:type="dxa" w:w="30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AD B2C</w:t>
            </w:r>
          </w:p>
        </w:tc>
        <w:tc>
          <w:tcPr>
            <w:tcW w:type="dxa" w:w="4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Retired for new customers as of May 2025; Entra External ID is Microsoft's current CIAM product.</w:t>
            </w:r>
          </w:p>
        </w:tc>
      </w:tr>
      <w:tr>
        <w:tc>
          <w:tcPr>
            <w:tcW w:type="dxa" w:w="1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Identity</w:t>
            </w:r>
          </w:p>
        </w:tc>
        <w:tc>
          <w:tcPr>
            <w:tcW w:type="dxa" w:w="30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Custom ASP.NET Core Identity</w:t>
            </w:r>
          </w:p>
        </w:tc>
        <w:tc>
          <w:tcPr>
            <w:tcW w:type="dxa" w:w="4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Would require building and maintaining password/MFA/account-recovery flows solo.</w:t>
            </w:r>
          </w:p>
        </w:tc>
      </w:tr>
      <w:tr>
        <w:tc>
          <w:tcPr>
            <w:tcW w:type="dxa" w:w="1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Hosting</w:t>
            </w:r>
          </w:p>
        </w:tc>
        <w:tc>
          <w:tcPr>
            <w:tcW w:type="dxa" w:w="30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Container Apps / Functions</w:t>
            </w:r>
          </w:p>
        </w:tc>
        <w:tc>
          <w:tcPr>
            <w:tcW w:type="dxa" w:w="4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 Service is the simplest operational model for a single Blazor Web App at this scale for v1.</w:t>
            </w:r>
          </w:p>
        </w:tc>
      </w:tr>
      <w:tr>
        <w:tc>
          <w:tcPr>
            <w:tcW w:type="dxa" w:w="1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Database</w:t>
            </w:r>
          </w:p>
        </w:tc>
        <w:tc>
          <w:tcPr>
            <w:tcW w:type="dxa" w:w="30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Cosmos DB</w:t>
            </w:r>
          </w:p>
        </w:tc>
        <w:tc>
          <w:tcPr>
            <w:tcW w:type="dxa" w:w="4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The domain is strongly relational; best served by a relational store with EF Core.</w:t>
            </w:r>
          </w:p>
        </w:tc>
      </w:tr>
      <w:tr>
        <w:tc>
          <w:tcPr>
            <w:tcW w:type="dxa" w:w="1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PDF generation</w:t>
            </w:r>
          </w:p>
        </w:tc>
        <w:tc>
          <w:tcPr>
            <w:tcW w:type="dxa" w:w="30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IronPDF, DinkToPdf</w:t>
            </w:r>
          </w:p>
        </w:tc>
        <w:tc>
          <w:tcPr>
            <w:tcW w:type="dxa" w:w="4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QuestPDF chosen for its free Community licence at this scale and native C# fluent API.</w:t>
            </w:r>
          </w:p>
        </w:tc>
      </w:tr>
    </w:tbl>
    <w:p>
      <w:pPr>
        <w:spacing w:after="80"/>
      </w:pP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Component overview (C4: context and containers)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  <w:shd w:val="clear" w:color="auto" w:fill="F6F7F9"/>
            <w:tcBorders>
              <w:left w:val="single" w:sz="24" w:color="9CA3AF"/>
              <w:top w:val="single" w:sz="6" w:color="9CA3AF"/>
              <w:bottom w:val="single" w:sz="6" w:color="9CA3AF"/>
              <w:right w:val="single" w:sz="6" w:color="9CA3AF"/>
            </w:tcBorders>
          </w:tcPr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+-------------------------------------------+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|              VLMS (Blazor Web App)   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Teacher   -------&gt;|  - Lesson browsing &amp; completion marking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Approver  -------&gt;|  - Content proposal / approval queue       |&lt;--- Microsoft Entra External ID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Parent    -------&gt;|  - Progress dashboards, consent forms      |      (sign-in, MFA, self-service)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Student   -------&gt;|  - Reporting                         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Safeg. Officer---&gt;|  - Safeguarding/consent/DBS management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Admin     -------&gt;|                                      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+----------------+-------------+-------------+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|       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+----------v---+  +-------v--------+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| Azure SQL DB |  | Azure Blob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| (EF Core)    |  | Storage   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+--------------+  | (lesson assets,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 | certificate PDFs)|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 +--------+--------+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    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+---------v---------+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| Azure Communication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| Services (Email)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+---------------------+</w:t>
            </w:r>
          </w:p>
        </w:tc>
      </w:tr>
    </w:tbl>
    <w:p>
      <w:pPr>
        <w:spacing w:after="80"/>
      </w:pPr>
    </w:p>
    <w:p>
      <w:pPr>
        <w:spacing w:after="160" w:before="0"/>
      </w:pPr>
      <w:r>
        <w:rPr>
          <w:rFonts w:ascii="Arial" w:hAnsi="Arial"/>
          <w:b w:val="0"/>
          <w:i/>
          <w:color w:val="6B7280"/>
          <w:sz w:val="18"/>
        </w:rPr>
        <w:t>Figure 1: C4 system-context / container diagram (reproduced from design/architecture.md).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Web app (Blazor Web App, .NET, Azure App Service) — the only user-facing container. Server-side rendering by default, interactive render mode where needed. Owns authorization (role checks) on top of Entra External ID authentication.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Database (Azure SQL Database) — system of record for all domain data (VLMS-LLD). Accessed only via EF Core from the web app; no other component talks to it directly.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Blob storage (Azure Blob Storage) — lesson content assets and generated certificate PDFs. Referenced by URL/blob key from SQL rows; access brokered through the web app, no public anonymous containers, given safeguarding data proximity.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Background/scheduled work — consent/DBS expiry monitoring and re-engagement checks run as a scheduled job: decided as an Azure App Service WebJob, co-located with the web app (no separate Azure resource), matching the solo-maintainer preference for fewest moving parts (raid.md R-002).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Email (Azure Communication Services Email) — outbound-only; called synchronously or via a lightweight queue. No inbound email handling in scope.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Identity (Microsoft Entra External ID) — external tenant; the web app registers as a relying application (OIDC). User roles are modelled as application-level claims/roles, not native Entra External ID groups, given the small scale and domain-specific rules (e.g. a Parent's role is scoped to specific Student records).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Multi-tenancy: none — single-organisation system, not designed for multiple Varangians-style organisations to share one deployment.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Integration points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None with existing systems (integration.md — standalone application). Outbound-only transactional email via Azure Communication Services Email.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Data flow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All domain writes/reads flow through the web app to Azure SQL Database via EF Core; lesson assets and certificate PDFs are written to/read from Blob Storage, referenced by blob key from SQL rows; the scheduled WebJob reads expiry/at-risk state from SQL and triggers outbound email via Azure Communication Services. See VLMS-LLD for the detailed processing logic of each flow.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6. Technology choices with rationale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2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Concern</w:t>
            </w:r>
          </w:p>
        </w:tc>
        <w:tc>
          <w:tcPr>
            <w:tcW w:type="dxa" w:w="68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Choice</w:t>
            </w:r>
          </w:p>
        </w:tc>
      </w:tr>
      <w:tr>
        <w:tc>
          <w:tcPr>
            <w:tcW w:type="dxa" w:w="2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Client</w:t>
            </w:r>
          </w:p>
        </w:tc>
        <w:tc>
          <w:tcPr>
            <w:tcW w:type="dxa" w:w="68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Blazor Web App (.NET), responsive, PWA-installable</w:t>
            </w:r>
          </w:p>
        </w:tc>
      </w:tr>
      <w:tr>
        <w:tc>
          <w:tcPr>
            <w:tcW w:type="dxa" w:w="2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Hosting</w:t>
            </w:r>
          </w:p>
        </w:tc>
        <w:tc>
          <w:tcPr>
            <w:tcW w:type="dxa" w:w="68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App Service (Linux), Basic (B1) tier initially</w:t>
            </w:r>
          </w:p>
        </w:tc>
      </w:tr>
      <w:tr>
        <w:tc>
          <w:tcPr>
            <w:tcW w:type="dxa" w:w="2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Database</w:t>
            </w:r>
          </w:p>
        </w:tc>
        <w:tc>
          <w:tcPr>
            <w:tcW w:type="dxa" w:w="68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SQL Database, Basic/S0 tier initially</w:t>
            </w:r>
          </w:p>
        </w:tc>
      </w:tr>
      <w:tr>
        <w:tc>
          <w:tcPr>
            <w:tcW w:type="dxa" w:w="2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Identity</w:t>
            </w:r>
          </w:p>
        </w:tc>
        <w:tc>
          <w:tcPr>
            <w:tcW w:type="dxa" w:w="68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Microsoft Entra External ID (CIAM)</w:t>
            </w:r>
          </w:p>
        </w:tc>
      </w:tr>
      <w:tr>
        <w:tc>
          <w:tcPr>
            <w:tcW w:type="dxa" w:w="2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File storage</w:t>
            </w:r>
          </w:p>
        </w:tc>
        <w:tc>
          <w:tcPr>
            <w:tcW w:type="dxa" w:w="68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Blob Storage</w:t>
            </w:r>
          </w:p>
        </w:tc>
      </w:tr>
      <w:tr>
        <w:tc>
          <w:tcPr>
            <w:tcW w:type="dxa" w:w="2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Email</w:t>
            </w:r>
          </w:p>
        </w:tc>
        <w:tc>
          <w:tcPr>
            <w:tcW w:type="dxa" w:w="68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Communication Services Email</w:t>
            </w:r>
          </w:p>
        </w:tc>
      </w:tr>
      <w:tr>
        <w:tc>
          <w:tcPr>
            <w:tcW w:type="dxa" w:w="2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PDF generation</w:t>
            </w:r>
          </w:p>
        </w:tc>
        <w:tc>
          <w:tcPr>
            <w:tcW w:type="dxa" w:w="68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QuestPDF (Community licence)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Full rationale and consequences: ADR-0001 (VLMS-ADR).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7. NFR conformance summary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Reliability/availability (NFR-003): best-effort, matched by App Service's operational model. Security (NFR-001): role/resource-based authorization plus data-access-layer masking, addressed in VLMS-LLD. Accessibility (NFR-002): WCAG 2.2 AA is a Blazor UI-layer concern, verified in VLMS-TEST. Flexibility/scalability: starting tiers sized for tens-of-users load per ADR-0001; full detail in VLMS-NFR.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8. Phased approach</w:t>
      </w:r>
    </w:p>
    <w:p>
      <w:pPr>
        <w:spacing w:after="120" w:before="0"/>
      </w:pPr>
      <w:r>
        <w:rPr>
          <w:rFonts w:ascii="Arial" w:hAnsi="Arial"/>
          <w:b w:val="0"/>
          <w:i/>
          <w:color w:val="A83E00"/>
          <w:sz w:val="22"/>
        </w:rPr>
        <w:t>[TBC – owner: Philip] delivery-plan.md is not yet started; no phased build sequence has been agreed beyond MVP vs deferred scope (VLMS-BRD section 8).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Solution Design &amp; Architecture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