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Security &amp; Compliance Assessment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(Light)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Security &amp; Compliance Assessment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VLMS-SEC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Light — design gate; completed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governance/security-compliance.md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Satisfies: ISO/IEC 27001:2022; UK GDPR / Data Protection Act 2018. This is a control document, not legal advice.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Data classification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system manages safeguarding/consent data directly: medical information, photo/media consent, dietary/SEN data, DBS (Disclosure and Barring Service) check records, emergency contact details. This is special-category and children's personal data.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Regulatory obligations identified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UK GDPR / Data Protection Act 2018 obligations apply directly (lawful basis, special-category conditions, retention/deletion, data subject rights, likely a DPIA).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To be confirmed with Microsoft Learn / ICO guidance during design, not assumed. Confirmed: no external governing body/regulator (e.g. diocese, national youth-org policy) imposes rules beyond general UK law — general UK GDPR/DPA 2018 and safeguarding good practice is the applicable bar.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High-level threat considerations / access control by role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DbsCheck records — whole-record access restricted to Admin and Safeguarding Officer only. Teacher and Approver have no access, not even a masked view.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ConsentRecord sensitive fields (medical, dietary/SEN, emergency contact) — masked from Teacher and Approver; full visibility for Admin and Safeguarding Officer.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 is scoped to curriculum/lesson-change approval only — it carries no safeguarding, consent, or DBS privileges (a discovery correction: the Approver role must not be conflated with consent/safeguarding sign-off).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 record approval (ConsentRecord.ApprovedByUserId) is performed by Safeguarding Officer or Admin, not by the Approver role.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Column-level access control/masking, and audit logging of access, was a hard requirement in the prior build — carried forward as a hypothesis for NFR-nnn (VLMS-NFR), to be confirmed.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DPIA screening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Whether a full DPIA is required has not yet been confirmed (governance/security-compliance.md records this as pending ICO guidance review). Given the special-category and children's data in scope, a DPIA is likely required; a full DPIA is a delivery-gate item where processing is confirmed high-risk.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Retention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Student records (including consent, medical/dietary/SEN data): retained 3 years from the student leaving/graduating the programme. DbsCheck records: retained 6 years after expiry or the teacher leaving.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Deletion mechanism (hard delete vs anonymisation) and enforcement (manual admin process vs automated purge job) is not yet decided.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Security &amp; Compliance Assessment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