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200"/>
      </w:pPr>
      <w:r>
        <w:rPr>
          <w:rFonts w:ascii="Arial" w:hAnsi="Arial"/>
          <w:b/>
          <w:i w:val="0"/>
          <w:color w:val="1F2937"/>
          <w:sz w:val="48"/>
        </w:rPr>
        <w:t>VLMS Software Requirements Specification</w:t>
      </w:r>
    </w:p>
    <w:p>
      <w:pPr>
        <w:spacing w:after="40" w:before="0"/>
      </w:pPr>
      <w:r>
        <w:rPr>
          <w:rFonts w:ascii="Arial" w:hAnsi="Arial"/>
          <w:b w:val="0"/>
          <w:i w:val="0"/>
          <w:color w:val="374151"/>
          <w:sz w:val="24"/>
        </w:rPr>
        <w:t>Varangians LMS — Design Gate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C7D7D9"/>
          <w:left w:val="single" w:sz="4" w:color="C7D7D9"/>
          <w:bottom w:val="single" w:sz="4" w:color="C7D7D9"/>
          <w:right w:val="single" w:sz="4" w:color="C7D7D9"/>
          <w:insideH w:val="single" w:sz="4" w:color="C7D7D9"/>
          <w:insideV w:val="single" w:sz="4" w:color="C7D7D9"/>
        </w:tblBorders>
      </w:tblPr>
      <w:tblGrid>
        <w:gridCol w:w="4513"/>
        <w:gridCol w:w="4513"/>
      </w:tblGrid>
      <w:tr>
        <w:tc>
          <w:tcPr>
            <w:tcW w:type="dxa" w:w="2400"/>
            <w:shd w:val="clear" w:color="auto" w:fill="374151"/>
          </w:tcPr>
          <w:p>
            <w:pPr>
              <w:spacing w:after="40" w:before="40"/>
            </w:pPr>
            <w:r>
              <w:rPr>
                <w:rFonts w:ascii="Arial" w:hAnsi="Arial"/>
                <w:b/>
                <w:color w:val="FFFFFF"/>
                <w:sz w:val="20"/>
              </w:rPr>
              <w:t>Field</w:t>
            </w:r>
          </w:p>
        </w:tc>
        <w:tc>
          <w:tcPr>
            <w:tcW w:type="dxa" w:w="6626"/>
            <w:shd w:val="clear" w:color="auto" w:fill="374151"/>
          </w:tcPr>
          <w:p>
            <w:pPr>
              <w:spacing w:after="40" w:before="40"/>
            </w:pPr>
            <w:r>
              <w:rPr>
                <w:rFonts w:ascii="Arial" w:hAnsi="Arial"/>
                <w:b/>
                <w:color w:val="FFFFFF"/>
                <w:sz w:val="20"/>
              </w:rPr>
              <w:t>Detail</w:t>
            </w:r>
          </w:p>
        </w:tc>
      </w:tr>
      <w:tr>
        <w:tc>
          <w:tcPr>
            <w:tcW w:type="dxa" w:w="24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Document</w:t>
            </w:r>
          </w:p>
        </w:tc>
        <w:tc>
          <w:tcPr>
            <w:tcW w:type="dxa" w:w="6626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VLMS Software Requirements Specification</w:t>
            </w:r>
          </w:p>
        </w:tc>
      </w:tr>
      <w:tr>
        <w:tc>
          <w:tcPr>
            <w:tcW w:type="dxa" w:w="2400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Document code</w:t>
            </w:r>
          </w:p>
        </w:tc>
        <w:tc>
          <w:tcPr>
            <w:tcW w:type="dxa" w:w="6626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VLMS-SRS</w:t>
            </w:r>
          </w:p>
        </w:tc>
      </w:tr>
      <w:tr>
        <w:tc>
          <w:tcPr>
            <w:tcW w:type="dxa" w:w="24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Version</w:t>
            </w:r>
          </w:p>
        </w:tc>
        <w:tc>
          <w:tcPr>
            <w:tcW w:type="dxa" w:w="6626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1.0</w:t>
            </w:r>
          </w:p>
        </w:tc>
      </w:tr>
      <w:tr>
        <w:tc>
          <w:tcPr>
            <w:tcW w:type="dxa" w:w="2400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Status</w:t>
            </w:r>
          </w:p>
        </w:tc>
        <w:tc>
          <w:tcPr>
            <w:tcW w:type="dxa" w:w="6626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Design gate</w:t>
            </w:r>
          </w:p>
        </w:tc>
      </w:tr>
      <w:tr>
        <w:tc>
          <w:tcPr>
            <w:tcW w:type="dxa" w:w="24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Date</w:t>
            </w:r>
          </w:p>
        </w:tc>
        <w:tc>
          <w:tcPr>
            <w:tcW w:type="dxa" w:w="6626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17 July 2026</w:t>
            </w:r>
          </w:p>
        </w:tc>
      </w:tr>
      <w:tr>
        <w:tc>
          <w:tcPr>
            <w:tcW w:type="dxa" w:w="2400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Author</w:t>
            </w:r>
          </w:p>
        </w:tc>
        <w:tc>
          <w:tcPr>
            <w:tcW w:type="dxa" w:w="6626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Philip</w:t>
            </w:r>
          </w:p>
        </w:tc>
      </w:tr>
      <w:tr>
        <w:tc>
          <w:tcPr>
            <w:tcW w:type="dxa" w:w="24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Reviewers</w:t>
            </w:r>
          </w:p>
        </w:tc>
        <w:tc>
          <w:tcPr>
            <w:tcW w:type="dxa" w:w="6626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Philip (sole reviewer / approver)</w:t>
            </w:r>
          </w:p>
        </w:tc>
      </w:tr>
      <w:tr>
        <w:tc>
          <w:tcPr>
            <w:tcW w:type="dxa" w:w="2400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Approver</w:t>
            </w:r>
          </w:p>
        </w:tc>
        <w:tc>
          <w:tcPr>
            <w:tcW w:type="dxa" w:w="6626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[TBC]</w:t>
            </w:r>
          </w:p>
        </w:tc>
      </w:tr>
      <w:tr>
        <w:tc>
          <w:tcPr>
            <w:tcW w:type="dxa" w:w="24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Scope / phase</w:t>
            </w:r>
          </w:p>
        </w:tc>
        <w:tc>
          <w:tcPr>
            <w:tcW w:type="dxa" w:w="6626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Design gate</w:t>
            </w:r>
          </w:p>
        </w:tc>
      </w:tr>
      <w:tr>
        <w:tc>
          <w:tcPr>
            <w:tcW w:type="dxa" w:w="2400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Related documents</w:t>
            </w:r>
          </w:p>
        </w:tc>
        <w:tc>
          <w:tcPr>
            <w:tcW w:type="dxa" w:w="6626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functional.md, acceptance-criteria.md, integration.md</w:t>
            </w:r>
          </w:p>
        </w:tc>
      </w:tr>
    </w:tbl>
    <w:p>
      <w:pPr>
        <w:spacing w:after="80"/>
      </w:pPr>
    </w:p>
    <w:p>
      <w:pPr>
        <w:keepNext/>
        <w:spacing w:before="200" w:after="80"/>
        <w:outlineLvl w:val="1"/>
      </w:pPr>
      <w:r>
        <w:rPr>
          <w:rFonts w:ascii="Arial" w:hAnsi="Arial"/>
          <w:b/>
          <w:color w:val="1F2937"/>
          <w:sz w:val="26"/>
        </w:rPr>
        <w:t>Change History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C7D7D9"/>
          <w:left w:val="single" w:sz="4" w:color="C7D7D9"/>
          <w:bottom w:val="single" w:sz="4" w:color="C7D7D9"/>
          <w:right w:val="single" w:sz="4" w:color="C7D7D9"/>
          <w:insideH w:val="single" w:sz="4" w:color="C7D7D9"/>
          <w:insideV w:val="single" w:sz="4" w:color="C7D7D9"/>
        </w:tblBorders>
      </w:tblPr>
      <w:tblGrid>
        <w:gridCol w:w="2256"/>
        <w:gridCol w:w="2256"/>
        <w:gridCol w:w="2256"/>
        <w:gridCol w:w="2256"/>
      </w:tblGrid>
      <w:tr>
        <w:tc>
          <w:tcPr>
            <w:tcW w:type="dxa" w:w="1150"/>
            <w:shd w:val="clear" w:color="auto" w:fill="374151"/>
          </w:tcPr>
          <w:p>
            <w:pPr>
              <w:spacing w:after="40" w:before="40"/>
            </w:pPr>
            <w:r>
              <w:rPr>
                <w:rFonts w:ascii="Arial" w:hAnsi="Arial"/>
                <w:b/>
                <w:color w:val="FFFFFF"/>
                <w:sz w:val="20"/>
              </w:rPr>
              <w:t>Version</w:t>
            </w:r>
          </w:p>
        </w:tc>
        <w:tc>
          <w:tcPr>
            <w:tcW w:type="dxa" w:w="1500"/>
            <w:shd w:val="clear" w:color="auto" w:fill="374151"/>
          </w:tcPr>
          <w:p>
            <w:pPr>
              <w:spacing w:after="40" w:before="40"/>
            </w:pPr>
            <w:r>
              <w:rPr>
                <w:rFonts w:ascii="Arial" w:hAnsi="Arial"/>
                <w:b/>
                <w:color w:val="FFFFFF"/>
                <w:sz w:val="20"/>
              </w:rPr>
              <w:t>Date</w:t>
            </w:r>
          </w:p>
        </w:tc>
        <w:tc>
          <w:tcPr>
            <w:tcW w:type="dxa" w:w="2700"/>
            <w:shd w:val="clear" w:color="auto" w:fill="374151"/>
          </w:tcPr>
          <w:p>
            <w:pPr>
              <w:spacing w:after="40" w:before="40"/>
            </w:pPr>
            <w:r>
              <w:rPr>
                <w:rFonts w:ascii="Arial" w:hAnsi="Arial"/>
                <w:b/>
                <w:color w:val="FFFFFF"/>
                <w:sz w:val="20"/>
              </w:rPr>
              <w:t>Author</w:t>
            </w:r>
          </w:p>
        </w:tc>
        <w:tc>
          <w:tcPr>
            <w:tcW w:type="dxa" w:w="3676"/>
            <w:shd w:val="clear" w:color="auto" w:fill="374151"/>
          </w:tcPr>
          <w:p>
            <w:pPr>
              <w:spacing w:after="40" w:before="40"/>
            </w:pPr>
            <w:r>
              <w:rPr>
                <w:rFonts w:ascii="Arial" w:hAnsi="Arial"/>
                <w:b/>
                <w:color w:val="FFFFFF"/>
                <w:sz w:val="20"/>
              </w:rPr>
              <w:t>Summary</w:t>
            </w:r>
          </w:p>
        </w:tc>
      </w:tr>
      <w:tr>
        <w:tc>
          <w:tcPr>
            <w:tcW w:type="dxa" w:w="115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15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17 July 2026</w:t>
            </w:r>
          </w:p>
        </w:tc>
        <w:tc>
          <w:tcPr>
            <w:tcW w:type="dxa" w:w="27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Philip</w:t>
            </w:r>
          </w:p>
        </w:tc>
        <w:tc>
          <w:tcPr>
            <w:tcW w:type="dxa" w:w="3676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Initial design gate release, rendered from docs/ working markdown.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keepNext/>
        <w:spacing w:before="280" w:after="120"/>
        <w:outlineLvl w:val="0"/>
      </w:pPr>
      <w:r>
        <w:rPr>
          <w:rFonts w:ascii="Arial" w:hAnsi="Arial"/>
          <w:b/>
          <w:color w:val="111827"/>
          <w:sz w:val="32"/>
        </w:rPr>
        <w:t>Contents</w:t>
      </w:r>
    </w:p>
    <w:p>
      <w:fldSimple w:instr="TOC \o &quot;1-2&quot; \h \z \u">
        <w:r>
          <w:t>Right-click and choose "Update Field" to build the contents.</w:t>
        </w:r>
      </w:fldSimple>
    </w:p>
    <w:p>
      <w:r>
        <w:br w:type="page"/>
      </w:r>
    </w:p>
    <w:p>
      <w:pPr>
        <w:spacing w:after="200" w:before="0"/>
      </w:pPr>
      <w:r>
        <w:rPr>
          <w:rFonts w:ascii="Arial" w:hAnsi="Arial"/>
          <w:b w:val="0"/>
          <w:i/>
          <w:color w:val="6B7280"/>
          <w:sz w:val="20"/>
        </w:rPr>
        <w:t>Satisfies: ISO/IEC/IEEE 29148:2018 (requirements must be singular, verifiable and unambiguous).</w:t>
      </w:r>
    </w:p>
    <w:p>
      <w:pPr>
        <w:keepNext/>
        <w:spacing w:before="280" w:after="120"/>
        <w:outlineLvl w:val="0"/>
      </w:pPr>
      <w:r>
        <w:rPr>
          <w:rFonts w:ascii="Arial" w:hAnsi="Arial"/>
          <w:b/>
          <w:color w:val="111827"/>
          <w:sz w:val="32"/>
        </w:rPr>
        <w:t>1. System purpose and context</w:t>
      </w:r>
    </w:p>
    <w:p>
      <w:pPr>
        <w:spacing w:after="120" w:before="0"/>
      </w:pPr>
      <w:r>
        <w:rPr>
          <w:rFonts w:ascii="Arial" w:hAnsi="Arial"/>
          <w:b w:val="0"/>
          <w:i w:val="0"/>
          <w:sz w:val="22"/>
        </w:rPr>
        <w:t>VLMS is a standalone .NET application — no integration is required with any existing membership/payments/calendar/booking system (integration.md). Outbound transactional email is required as a generic capability (Azure Communication Services Email, per ADR-0001), not as an integration with a specific existing platform.</w:t>
      </w:r>
    </w:p>
    <w:p>
      <w:pPr>
        <w:keepNext/>
        <w:spacing w:before="280" w:after="120"/>
        <w:outlineLvl w:val="0"/>
      </w:pPr>
      <w:r>
        <w:rPr>
          <w:rFonts w:ascii="Arial" w:hAnsi="Arial"/>
          <w:b/>
          <w:color w:val="111827"/>
          <w:sz w:val="32"/>
        </w:rPr>
        <w:t>2. User personas</w:t>
      </w:r>
    </w:p>
    <w:p>
      <w:pPr>
        <w:spacing w:after="120" w:before="0"/>
      </w:pPr>
      <w:r>
        <w:rPr>
          <w:rFonts w:ascii="Arial" w:hAnsi="Arial"/>
          <w:b w:val="0"/>
          <w:i w:val="0"/>
          <w:sz w:val="22"/>
        </w:rPr>
        <w:t>Admin/Leader, Teacher, Approver (curriculum/lesson-change approval only), Parent/Guardian, Student, Safeguarding Officer (safeguarding/consent/DBS oversight). See VLMS-BRD section 4 for role detail.</w:t>
      </w:r>
    </w:p>
    <w:p>
      <w:pPr>
        <w:keepNext/>
        <w:spacing w:before="280" w:after="120"/>
        <w:outlineLvl w:val="0"/>
      </w:pPr>
      <w:r>
        <w:rPr>
          <w:rFonts w:ascii="Arial" w:hAnsi="Arial"/>
          <w:b/>
          <w:color w:val="111827"/>
          <w:sz w:val="32"/>
        </w:rPr>
        <w:t>3. Functional requirements</w:t>
      </w:r>
    </w:p>
    <w:p>
      <w:pPr>
        <w:spacing w:after="120" w:before="0"/>
      </w:pPr>
      <w:r>
        <w:rPr>
          <w:rFonts w:ascii="Arial" w:hAnsi="Arial"/>
          <w:b w:val="0"/>
          <w:i/>
          <w:color w:val="A83E00"/>
          <w:sz w:val="22"/>
        </w:rPr>
        <w:t>[TBC – owner: Philip] functional.md records requirements as narrative bullets grouped by capability area, not as discrete numbered FR-nnn entries. The groupings below map to the BR-nnn areas in quality/traceability.md; formal FR-nnn numbering has not yet been assigned.</w:t>
      </w:r>
    </w:p>
    <w:p>
      <w:pPr>
        <w:keepNext/>
        <w:spacing w:before="200" w:after="80"/>
        <w:outlineLvl w:val="1"/>
      </w:pPr>
      <w:r>
        <w:rPr>
          <w:rFonts w:ascii="Arial" w:hAnsi="Arial"/>
          <w:b/>
          <w:color w:val="1F2937"/>
          <w:sz w:val="26"/>
        </w:rPr>
        <w:t>3.1 Curriculum management (→ BR-002)</w:t>
      </w:r>
    </w:p>
    <w:p>
      <w:pPr>
        <w:pStyle w:val="ListBullet"/>
        <w:spacing w:after="60"/>
      </w:pPr>
      <w:r>
        <w:rPr>
          <w:rFonts w:ascii="Arial" w:hAnsi="Arial"/>
          <w:sz w:val="22"/>
        </w:rPr>
        <w:t>Any Teacher can propose a change to a lesson (content edit, new lesson, retire a lesson).</w:t>
      </w:r>
    </w:p>
    <w:p>
      <w:pPr>
        <w:pStyle w:val="ListBullet"/>
        <w:spacing w:after="60"/>
      </w:pPr>
      <w:r>
        <w:rPr>
          <w:rFonts w:ascii="Arial" w:hAnsi="Arial"/>
          <w:sz w:val="22"/>
        </w:rPr>
        <w:t>Only the Approver role can sign off / approve a proposed change before it goes live.</w:t>
      </w:r>
    </w:p>
    <w:p>
      <w:pPr>
        <w:pStyle w:val="ListBullet"/>
        <w:spacing w:after="60"/>
      </w:pPr>
      <w:r>
        <w:rPr>
          <w:rFonts w:ascii="Arial" w:hAnsi="Arial"/>
          <w:sz w:val="22"/>
        </w:rPr>
        <w:t>Review is ad hoc only — no scheduled/termly review prompt; teachers propose changes whenever they spot something worth changing.</w:t>
      </w:r>
    </w:p>
    <w:p>
      <w:pPr>
        <w:pStyle w:val="ListBullet"/>
        <w:spacing w:after="60"/>
      </w:pPr>
      <w:r>
        <w:rPr>
          <w:rFonts w:ascii="Arial" w:hAnsi="Arial"/>
          <w:sz w:val="22"/>
        </w:rPr>
        <w:t>Rejection supports comments and resubmission: the Approver can leave feedback on a rejected proposal, and the Teacher can revise and resubmit the same proposal.</w:t>
      </w:r>
    </w:p>
    <w:p>
      <w:pPr>
        <w:keepNext/>
        <w:spacing w:before="200" w:after="80"/>
        <w:outlineLvl w:val="1"/>
      </w:pPr>
      <w:r>
        <w:rPr>
          <w:rFonts w:ascii="Arial" w:hAnsi="Arial"/>
          <w:b/>
          <w:color w:val="1F2937"/>
          <w:sz w:val="26"/>
        </w:rPr>
        <w:t>3.2 Progress tracking (→ BR-001, BR-004)</w:t>
      </w:r>
    </w:p>
    <w:p>
      <w:pPr>
        <w:pStyle w:val="ListBullet"/>
        <w:spacing w:after="60"/>
      </w:pPr>
      <w:r>
        <w:rPr>
          <w:rFonts w:ascii="Arial" w:hAnsi="Arial"/>
          <w:sz w:val="22"/>
        </w:rPr>
        <w:t>Auto-promotion: a student is automatically promoted to the next rank once every active lesson in their current rank is marked complete.</w:t>
      </w:r>
    </w:p>
    <w:p>
      <w:pPr>
        <w:pStyle w:val="ListBullet"/>
        <w:spacing w:after="60"/>
      </w:pPr>
      <w:r>
        <w:rPr>
          <w:rFonts w:ascii="Arial" w:hAnsi="Arial"/>
          <w:sz w:val="22"/>
        </w:rPr>
        <w:t>Certificates (per lesson completion) and badges (per rank promotion) are real tracked records, giving an audit trail of who received what and when.</w:t>
      </w:r>
    </w:p>
    <w:p>
      <w:pPr>
        <w:pStyle w:val="ListBullet"/>
        <w:spacing w:after="60"/>
      </w:pPr>
      <w:r>
        <w:rPr>
          <w:rFonts w:ascii="Arial" w:hAnsi="Arial"/>
          <w:sz w:val="22"/>
        </w:rPr>
        <w:t>The Teacher marks a lesson complete for a student, and can self-correct/reverse their own entry within a reasonable window — no separate correction gate through Admin. An evidence/note field is available but optional.</w:t>
      </w:r>
    </w:p>
    <w:p>
      <w:pPr>
        <w:pStyle w:val="ListBullet"/>
        <w:spacing w:after="60"/>
      </w:pPr>
      <w:r>
        <w:rPr>
          <w:rFonts w:ascii="Arial" w:hAnsi="Arial"/>
          <w:sz w:val="22"/>
        </w:rPr>
        <w:t>Certificates are auto-generated documents (PDF, from a template) at completion time, not just a database record.</w:t>
      </w:r>
    </w:p>
    <w:p>
      <w:pPr>
        <w:spacing w:after="120" w:before="0"/>
      </w:pPr>
      <w:r>
        <w:rPr>
          <w:rFonts w:ascii="Arial" w:hAnsi="Arial"/>
          <w:b w:val="0"/>
          <w:i/>
          <w:color w:val="A83E00"/>
          <w:sz w:val="22"/>
        </w:rPr>
        <w:t>[TBC – owner: Philip] Certificate delivery mechanism (download vs email) is not yet decided (functional.md).</w:t>
      </w:r>
    </w:p>
    <w:p>
      <w:pPr>
        <w:spacing w:after="120" w:before="0"/>
      </w:pPr>
      <w:r>
        <w:rPr>
          <w:rFonts w:ascii="Arial" w:hAnsi="Arial"/>
          <w:b w:val="0"/>
          <w:i/>
          <w:color w:val="A83E00"/>
          <w:sz w:val="22"/>
        </w:rPr>
        <w:t>[TBC – owner: Philip] Auto-promotion logic is carried over as a hypothesis from the prior build and requires confirmation.</w:t>
      </w:r>
    </w:p>
    <w:p>
      <w:pPr>
        <w:keepNext/>
        <w:spacing w:before="200" w:after="80"/>
        <w:outlineLvl w:val="1"/>
      </w:pPr>
      <w:r>
        <w:rPr>
          <w:rFonts w:ascii="Arial" w:hAnsi="Arial"/>
          <w:b/>
          <w:color w:val="1F2937"/>
          <w:sz w:val="26"/>
        </w:rPr>
        <w:t>3.3 Safeguarding &amp; consent (→ BR-003)</w:t>
      </w:r>
    </w:p>
    <w:p>
      <w:pPr>
        <w:pStyle w:val="ListBullet"/>
        <w:spacing w:after="60"/>
      </w:pPr>
      <w:r>
        <w:rPr>
          <w:rFonts w:ascii="Arial" w:hAnsi="Arial"/>
          <w:sz w:val="22"/>
        </w:rPr>
        <w:t>Annual parental consent record per student covering: photo/media consent, emergency medical info, dietary/SEN needs, transport/off-site trip consent, data-sharing consent.</w:t>
      </w:r>
    </w:p>
    <w:p>
      <w:pPr>
        <w:pStyle w:val="ListBullet"/>
        <w:spacing w:after="60"/>
      </w:pPr>
      <w:r>
        <w:rPr>
          <w:rFonts w:ascii="Arial" w:hAnsi="Arial"/>
          <w:sz w:val="22"/>
        </w:rPr>
        <w:t>DBS (Disclosure and Barring Service) check tracking for teachers.</w:t>
      </w:r>
    </w:p>
    <w:p>
      <w:pPr>
        <w:pStyle w:val="ListBullet"/>
        <w:spacing w:after="60"/>
      </w:pPr>
      <w:r>
        <w:rPr>
          <w:rFonts w:ascii="Arial" w:hAnsi="Arial"/>
          <w:sz w:val="22"/>
        </w:rPr>
        <w:t>Expiry monitoring: consent and DBS expiry are tracked, with escalating alerts, and expired consent blocks lesson completion for that student until renewed.</w:t>
      </w:r>
    </w:p>
    <w:p>
      <w:pPr>
        <w:keepNext/>
        <w:spacing w:before="200" w:after="80"/>
        <w:outlineLvl w:val="1"/>
      </w:pPr>
      <w:r>
        <w:rPr>
          <w:rFonts w:ascii="Arial" w:hAnsi="Arial"/>
          <w:b/>
          <w:color w:val="1F2937"/>
          <w:sz w:val="26"/>
        </w:rPr>
        <w:t>3.4 Parent engagement (→ BR-005)</w:t>
      </w:r>
    </w:p>
    <w:p>
      <w:pPr>
        <w:pStyle w:val="ListBullet"/>
        <w:spacing w:after="60"/>
      </w:pPr>
      <w:r>
        <w:rPr>
          <w:rFonts w:ascii="Arial" w:hAnsi="Arial"/>
          <w:sz w:val="22"/>
        </w:rPr>
        <w:t>Parents get both an in-app dashboard (view own child's progress, certificates, badges) AND proactive notifications (e.g. email on lesson completion/rank promotion, consent-expiry reminders).</w:t>
      </w:r>
    </w:p>
    <w:p>
      <w:pPr>
        <w:keepNext/>
        <w:spacing w:before="200" w:after="80"/>
        <w:outlineLvl w:val="1"/>
      </w:pPr>
      <w:r>
        <w:rPr>
          <w:rFonts w:ascii="Arial" w:hAnsi="Arial"/>
          <w:b/>
          <w:color w:val="1F2937"/>
          <w:sz w:val="26"/>
        </w:rPr>
        <w:t>3.5 Reporting (→ BR-006)</w:t>
      </w:r>
    </w:p>
    <w:p>
      <w:pPr>
        <w:pStyle w:val="ListBullet"/>
        <w:spacing w:after="60"/>
      </w:pPr>
      <w:r>
        <w:rPr>
          <w:rFonts w:ascii="Arial" w:hAnsi="Arial"/>
          <w:sz w:val="22"/>
        </w:rPr>
        <w:t>Core progress reports: rank/completion stats, promotion history.</w:t>
      </w:r>
    </w:p>
    <w:p>
      <w:pPr>
        <w:pStyle w:val="ListBullet"/>
        <w:spacing w:after="60"/>
      </w:pPr>
      <w:r>
        <w:rPr>
          <w:rFonts w:ascii="Arial" w:hAnsi="Arial"/>
          <w:sz w:val="22"/>
        </w:rPr>
        <w:t>At-risk/disengaged student flagging: no lesson completions within 8 weeks, surfaced to Admin for proactive follow-up.</w:t>
      </w:r>
    </w:p>
    <w:p>
      <w:pPr>
        <w:keepNext/>
        <w:spacing w:before="280" w:after="120"/>
        <w:outlineLvl w:val="0"/>
      </w:pPr>
      <w:r>
        <w:rPr>
          <w:rFonts w:ascii="Arial" w:hAnsi="Arial"/>
          <w:b/>
          <w:color w:val="111827"/>
          <w:sz w:val="32"/>
        </w:rPr>
        <w:t>4. Acceptance criteria</w:t>
      </w:r>
    </w:p>
    <w:p>
      <w:pPr>
        <w:spacing w:after="120" w:before="0"/>
      </w:pPr>
      <w:r>
        <w:rPr>
          <w:rFonts w:ascii="Arial" w:hAnsi="Arial"/>
          <w:b w:val="0"/>
          <w:i/>
          <w:color w:val="A83E00"/>
          <w:sz w:val="22"/>
        </w:rPr>
        <w:t>[TBC – owner: Philip] acceptance-criteria.md is not yet started; no discrete acceptance criteria have been recorded against the functional requirements above.</w:t>
      </w:r>
    </w:p>
    <w:p>
      <w:pPr>
        <w:keepNext/>
        <w:spacing w:before="280" w:after="120"/>
        <w:outlineLvl w:val="0"/>
      </w:pPr>
      <w:r>
        <w:rPr>
          <w:rFonts w:ascii="Arial" w:hAnsi="Arial"/>
          <w:b/>
          <w:color w:val="111827"/>
          <w:sz w:val="32"/>
        </w:rPr>
        <w:t>5. Business rules</w:t>
      </w:r>
    </w:p>
    <w:p>
      <w:pPr>
        <w:pStyle w:val="ListBullet"/>
        <w:spacing w:after="60"/>
      </w:pPr>
      <w:r>
        <w:rPr>
          <w:rFonts w:ascii="Arial" w:hAnsi="Arial"/>
          <w:sz w:val="22"/>
        </w:rPr>
        <w:t>Expired consent blocks StudentLessonCompletion creation for that student until renewed.</w:t>
      </w:r>
    </w:p>
    <w:p>
      <w:pPr>
        <w:pStyle w:val="ListBullet"/>
        <w:spacing w:after="60"/>
      </w:pPr>
      <w:r>
        <w:rPr>
          <w:rFonts w:ascii="Arial" w:hAnsi="Arial"/>
          <w:sz w:val="22"/>
        </w:rPr>
        <w:t>Auto-promotion fires only when every active Lesson in the student's current Rank is complete.</w:t>
      </w:r>
    </w:p>
    <w:p>
      <w:pPr>
        <w:pStyle w:val="ListBullet"/>
        <w:spacing w:after="60"/>
      </w:pPr>
      <w:r>
        <w:rPr>
          <w:rFonts w:ascii="Arial" w:hAnsi="Arial"/>
          <w:sz w:val="22"/>
        </w:rPr>
        <w:t>The Approver role's remit is curriculum/lesson-change approval only — no role in consent or DBS approval, no access to DBS records.</w:t>
      </w:r>
    </w:p>
    <w:p>
      <w:pPr>
        <w:keepNext/>
        <w:spacing w:before="280" w:after="120"/>
        <w:outlineLvl w:val="0"/>
      </w:pPr>
      <w:r>
        <w:rPr>
          <w:rFonts w:ascii="Arial" w:hAnsi="Arial"/>
          <w:b/>
          <w:color w:val="111827"/>
          <w:sz w:val="32"/>
        </w:rPr>
        <w:t>6. Interface requirements</w:t>
      </w:r>
    </w:p>
    <w:p>
      <w:pPr>
        <w:spacing w:after="120" w:before="0"/>
      </w:pPr>
      <w:r>
        <w:rPr>
          <w:rFonts w:ascii="Arial" w:hAnsi="Arial"/>
          <w:b w:val="0"/>
          <w:i w:val="0"/>
          <w:sz w:val="22"/>
        </w:rPr>
        <w:t>No external system interfaces are required (integration.md — standalone application, no existing membership/payments/calendar/booking system integration). Outbound-only transactional email via Azure Communication Services Email (notifications, expiry reminders, no inbound email handling in scope).</w:t>
      </w:r>
    </w:p>
    <w:p>
      <w:pPr>
        <w:keepNext/>
        <w:spacing w:before="280" w:after="120"/>
        <w:outlineLvl w:val="0"/>
      </w:pPr>
      <w:r>
        <w:rPr>
          <w:rFonts w:ascii="Arial" w:hAnsi="Arial"/>
          <w:b/>
          <w:color w:val="111827"/>
          <w:sz w:val="32"/>
        </w:rPr>
        <w:t>7. Data requirements</w:t>
      </w:r>
    </w:p>
    <w:p>
      <w:pPr>
        <w:spacing w:after="120" w:before="0"/>
      </w:pPr>
      <w:r>
        <w:rPr>
          <w:rFonts w:ascii="Arial" w:hAnsi="Arial"/>
          <w:b w:val="0"/>
          <w:i w:val="0"/>
          <w:sz w:val="22"/>
        </w:rPr>
        <w:t>Entities, ownership and migration scope are detailed in VLMS-LLD (data-design.md), to keep the schema in one authoritative place. Migration scope: none — clean start, no migration of historical spreadsheet data (A-003).</w:t>
      </w:r>
    </w:p>
    <w:p>
      <w:pPr>
        <w:keepNext/>
        <w:spacing w:before="280" w:after="120"/>
        <w:outlineLvl w:val="0"/>
      </w:pPr>
      <w:r>
        <w:rPr>
          <w:rFonts w:ascii="Arial" w:hAnsi="Arial"/>
          <w:b/>
          <w:color w:val="111827"/>
          <w:sz w:val="32"/>
        </w:rPr>
        <w:t>8. Reporting and audit requirements</w:t>
      </w:r>
    </w:p>
    <w:p>
      <w:pPr>
        <w:spacing w:after="120" w:before="0"/>
      </w:pPr>
      <w:r>
        <w:rPr>
          <w:rFonts w:ascii="Arial" w:hAnsi="Arial"/>
          <w:b w:val="0"/>
          <w:i w:val="0"/>
          <w:sz w:val="22"/>
        </w:rPr>
        <w:t>Core progress reports and at-risk/disengaged flagging (section 3.5). Certificates and badges are real tracked records (Certificate, StudentBadge) providing an audit trail of who received what and when, rather than implicit/ad hoc records.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440" w:right="1440" w:bottom="1440" w:left="1440" w:header="560" w:footer="56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026" w:val="right"/>
      </w:tabs>
    </w:pPr>
    <w:r>
      <w:rPr>
        <w:rFonts w:ascii="Arial" w:hAnsi="Arial"/>
        <w:color w:val="6B7280"/>
        <w:sz w:val="16"/>
      </w:rPr>
      <w:t>VLMS Software Requirements Specification</w:t>
      <w:tab/>
    </w:r>
    <w:r>
      <w:rPr>
        <w:rFonts w:ascii="Arial" w:hAnsi="Arial"/>
        <w:color w:val="6B7280"/>
        <w:sz w:val="16"/>
      </w:rPr>
      <w:t xml:space="preserve">Page </w:t>
    </w:r>
    <w:r>
      <w:rPr>
        <w:rFonts w:ascii="Arial" w:hAnsi="Arial"/>
        <w:color w:val="6B7280"/>
        <w:sz w:val="16"/>
      </w:rP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color w:val="20202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