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Architecture Decision Records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Architecture Decision Records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VLMS-ADR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adr/0001-technology-stack.md, adr/0002-roles-as-application-claims.md, adr/0003-scheduled-jobs-webjobs.md, adr/0004-sensitive-data-access-control.md, adr/README.md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added ADR-0002 (roles as application claims), ADR-0003 (scheduled jobs via WebJobs), ADR-0004 (sensitive-data access control) — 4 ADRs now recorded (was 1).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Format: Nygard / MADR (context, decision, status, consequences, alternatives). ADRs are added as new decisions are made during design (adr/README.md). Four ADRs are recorded at this gate (was one at the previous render).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ADR-0001: Technology stack — Blazor + Azure</w:t>
      </w:r>
    </w:p>
    <w:p>
      <w:pPr>
        <w:spacing w:after="120" w:before="0"/>
      </w:pPr>
      <w:r>
        <w:rPr>
          <w:rFonts w:ascii="Arial" w:hAnsi="Arial"/>
          <w:b/>
          <w:i w:val="0"/>
          <w:sz w:val="22"/>
        </w:rPr>
        <w:t>Status: Accepted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Context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Must be accessible via phone, tablet, and browser.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Solo developer, no dedicated ops team, must minimise ongoing maintenance burden.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Small scale: tens of users per role (Admin, Teacher, Approver, Parent/Guardian, Student, Safeguarding Officer), not hundreds/thousands.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No hard budget ceiling, but a stated preference for low ongoing hosting cost.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Manages special-category/children's personal data (safeguarding, medical, consent, DBS).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Standalone system: no integration with an existing membership/payments/calendar platform; only needs outbound transactional email.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Certificates are auto-generated PDF documents.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Decision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Concern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Choice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Client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Blazor Web App (.NET), responsive, PWA-installable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Hosting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App Service (Linux), Basic (B1) tier initially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Database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SQL Database, Basic/S0 tier initially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Identity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Microsoft Entra External ID (CIAM) for Teacher/Approver/Parent/Student/Safeguarding Officer/Admin sign-in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File storage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Blob Storage — lesson content assets, generated certificate PDFs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Email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Communication Services Email — transactional email (notifications, expiry reminders)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PDF generation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QuestPDF (open-source .NET library, Community licence)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Alternatives considered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Client — .NET MAUI native app + separate Web API: rejected, app-store distribution/update cycles add solo-maintainer overhead disproportionate to a tens-of-users audience; Blazor meets the phone/tablet/browser requirement with one codebase.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Identity — Azure AD B2C: rejected, retired for new customers as of May 2025 (Microsoft Entra fundamentals, learn.microsoft.com/entra/architecture/secure-fundamentals); Entra External ID is Microsoft's current CIAM product (learn.microsoft.com/entra/external-id/external-identities-overview).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Identity — custom ASP.NET Core Identity: rejected, would require building and maintaining password/MFA/account-recovery flows solo, which Entra External ID provides out of the box.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Hosting — Azure Container Apps / Functions: rejected for v1, App Service is the simplest operational model for a single Blazor Web App at this scale; can revisit if scale-to-zero cost savings become material.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Database — Azure Cosmos DB: rejected, the domain is strongly relational and best served by a relational store with EF Core.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PDF generation — IronPDF, DinkToPdf: rejected, QuestPDF chosen for its free Community licence at this scale and native C# fluent API (no HTML/headless-browser dependency).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Consequences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All identity/auth work is delegated to Entra External ID; user-role mapping must be modelled as application-level authorization (ADR-0002), not built from scratch.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QuestPDF is a non-Microsoft dependency; licence terms should be re-checked if the project ever exceeds the Community licence's revenue/org-size threshold.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Azure Communication Services Email requires a verified sending domain before go-live.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Starting tiers (App Service B1, SQL Basic/S0) are sized for tens-of-users load; scaling up is a configuration change, not a redesign, if usage grows materially beyond the ~2-year assumption (A-002).</w:t>
      </w: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ADR-0002: User roles modelled as application claims, not native Entra External ID groups</w:t>
      </w:r>
    </w:p>
    <w:p>
      <w:pPr>
        <w:spacing w:after="120" w:before="0"/>
      </w:pPr>
      <w:r>
        <w:rPr>
          <w:rFonts w:ascii="Arial" w:hAnsi="Arial"/>
          <w:b/>
          <w:i w:val="0"/>
          <w:sz w:val="22"/>
        </w:rPr>
        <w:t>Status: Accepted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Context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VLMS uses Microsoft Entra External ID for authentication (ADR-0001). Six roles exist: Admin, Teacher, Approver, Parent, Student, Safeguarding Officer (stakeholders.md). Some authorization decisions are pure role checks (e.g. only Safeguarding Officer/Admin may view DbsCheck), but others are resource-scoped and role alone cannot express them: a Parent's access is scoped to specific Student records via StudentGuardianLink, not just ‘is a Parent’ (data-design.md).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Decision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Model roles as an application-level UserRole table (AppUser 1:N UserRole), enforced through ASP.NET Core authorization policies plus resource-based handlers — not as native Entra External ID group membership.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Alternatives considered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Native Entra External ID groups, mapped 1:1 to the six roles — rejected: groups express ‘is a member of role X’ well, but cannot express ‘is a Parent of this specific Student’, which is central to the access model. Resource-scoped authorization has to live in the application regardless, so keeping role membership there too avoids splitting the access-control model across two systems.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Consequences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Role and resource-scope checks live in one place (Vlms.Web authorization policies + handlers), which is easier for a solo maintainer to reason about and test than a split model.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 user's role is not visible/manageable directly from the Entra admin center — role assignment is an application feature (Admin UI), which must itself be access-controlled (only Admin can assign roles).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If the user base later grows enough that centralised (Entra-level) role governance becomes valuable, this can be revisited without changing the data model — UserRole could be populated from Entra group claims instead of an app-managed table.</w:t>
      </w: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ADR-0003: Scheduled/background work via Azure App Service WebJobs</w:t>
      </w:r>
    </w:p>
    <w:p>
      <w:pPr>
        <w:spacing w:after="120" w:before="0"/>
      </w:pPr>
      <w:r>
        <w:rPr>
          <w:rFonts w:ascii="Arial" w:hAnsi="Arial"/>
          <w:b/>
          <w:i w:val="0"/>
          <w:sz w:val="22"/>
        </w:rPr>
        <w:t>Status: Accepted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Context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VLMS needs recurring background work: daily consent/DBS expiry monitoring with escalation, and at-risk/disengaged student flagging (8-week no-completion threshold) — see VLMS-LLD (ConsentExpiryJob). This is the only background/scheduled workload in the system; everything else is synchronous, user-triggered web request handling.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Decision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Run this as an Azure App Service WebJob, co-located with the Vlms.Web App Service plan.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Alternatives considered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Azure Functions (Timer trigger) in a separate Function App — rejected for v1: adds a second Azure resource to provision, monitor, and pay for (per RAID R-002, solo-maintainer bus-factor risk means fewer moving parts is a genuine mitigation, not just convenience), for a single daily job with no independent scaling need at tens-of-users scale.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Consequences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scheduled job shares the App Service plan's compute and lifecycle with the web app — a deployment of Vlms.Web also redeploys the WebJob; there is no independent scaling or failure isolation between them.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If the background workload grows materially, migrating to Azure Functions is a contained change — it does not affect the domain logic in Vlms.Domain, only the hosting/trigger mechanism.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WebJob failures must be monitored explicitly (e.g. Application Insights alerting) since there is no separate Functions-portal execution history to fall back on.</w:t>
      </w: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ADR-0004: Sensitive data access control — EF Core global query filters + read audit log</w:t>
      </w:r>
    </w:p>
    <w:p>
      <w:pPr>
        <w:spacing w:after="120" w:before="0"/>
      </w:pPr>
      <w:r>
        <w:rPr>
          <w:rFonts w:ascii="Arial" w:hAnsi="Arial"/>
          <w:b/>
          <w:i w:val="0"/>
          <w:sz w:val="22"/>
        </w:rPr>
        <w:t>Status: Accepted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Context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VLMS stores special-category and children's personal data directly (DbsCheck, ConsentRecord sensitive fields) with a confirmed, role-specific access model: DbsCheck is restricted entirely to Admin/Safeguarding Officer; ConsentRecord's medical/dietary-SEN/emergency-contact fields are masked from Teacher and Approver (data-design.md, security-compliance.md). A design review of this project raised two related risks: (1) if masking/restriction is implemented as an opt-in convention that each new query/report must remember to apply, one missed call site leaks sensitive data; (2) the original design logged who created or approved a safeguarding record, but nothing logged who subsequently read one — for a system whose core justification is protecting this data, an absent read-audit trail is a real control gap, not a documentation gap.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Decision</w:t>
      </w:r>
    </w:p>
    <w:p>
      <w:pPr>
        <w:pStyle w:val="ListNumber"/>
        <w:spacing w:after="60"/>
      </w:pPr>
      <w:r>
        <w:rPr>
          <w:rFonts w:ascii="Arial" w:hAnsi="Arial"/>
          <w:sz w:val="22"/>
        </w:rPr>
        <w:t>Enforce column masking and whole-record restriction structurally via EF Core global query filters configured on the DbContext, keyed by the current caller's role. A developer cannot accidentally bypass this by writing a new query — bypassing requires an explicit, greppable IgnoreQueryFilters() call, which is itself a reviewable act.</w:t>
      </w:r>
    </w:p>
    <w:p>
      <w:pPr>
        <w:pStyle w:val="ListNumber"/>
        <w:spacing w:after="60"/>
      </w:pPr>
      <w:r>
        <w:rPr>
          <w:rFonts w:ascii="Arial" w:hAnsi="Arial"/>
          <w:sz w:val="22"/>
        </w:rPr>
        <w:t>Add a SensitiveDataAccessLog table (data-design.md) and write an entry on every read of a DbsCheck record or a ConsentRecord's masked fields (who, what, when, view vs export).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Alternatives considered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Per-call data-access-layer policy checks (the original design) — rejected: correct in principle, but relies on every future query author remembering to apply it; not structural.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Database-level column encryption (e.g. Always Encrypted) — rejected for v1: adds real operational complexity (key management, limited queryability of encrypted columns) disproportionate to a solo-maintained, tens-of-users system; the EF Core filter approach gives equivalent access control for the actual threat model here (accidental over-exposure within the application, not a compromised database administrator).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Consequences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All EF Core queries against DbsCheck/ConsentRecord must go through the shared DbContext with the filters applied; any new reporting/export feature is safe by default.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read-audit log adds write volume proportional to how often sensitive data is viewed — negligible at tens-of-users scale.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OWASP ASVS 5.0's access-control and logging chapters should be checked against this mechanism at build/test time (TC-011/TC-012), not just assumed satisfied by this ADR.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Architecture Decision Records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