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Delivery Plan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Delivery Plan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VLMS-DEL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1.1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delivery-plan.md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  <w:tr>
        <w:tc>
          <w:tcPr>
            <w:tcW w:type="dxa" w:w="11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Re-render: dependencies section updated to match the corrected governance/raid.md (D-001/D-002 now decided per ADR-0001, not open).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/>
          <w:sz w:val="22"/>
        </w:rPr>
        <w:t>Satisfies: ISO 21502:2020; PMBOK Guide 8th edition. Unchanged this render — delivery-plan.md is still not started.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delivery-plan.md is not yet started (Status: not yet started). No phases, milestones, resourcing, dependencies, gate schedule, cutover/rollback approach, or comms/training plan have been agreed. The sections below record what can be inferred from other working markdown; they are not a substitute for a compiled delivery plan.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Phases and milestones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Not yet agreed, beyond the MVP/deferred split recorded in business-requirements.md (MVP: progress tracking, curriculum management, safeguarding/consent/DBS, certificates/badges, parent engagement, core reporting; deferred: at-home learning).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Scope per phase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Not yet agreed.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Resourcing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Solo developer (Philip); no other delivery resource (constraints.md).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Dependencies (internal and external)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D-001: certificate PDF generation approach decided (QuestPDF, ADR-0001); a certificate template still needs to be designed before build.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D-002: outbound transactional email provider decided (Azure Communication Services Email, ADR-0001); a verified sending domain is still required before go-live.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Gate/decision schedule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Two gates: design gate (this package) and delivery gate. No further stage boundaries are yet defined.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Cutover and rollback approach (plan level)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Not yet agreed. No migration is in scope (clean start, A-003), which simplifies cutover but has not yet been formally planned.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Comms and training needs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Not yet agreed.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Forward pointer — DPIA screening exit criterion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governance/security-compliance.md now names DPIA screening (against ICO guidance) as a tracked exit criterion for the delivery gate. This has not yet been reflected in delivery-plan.md itself, since that document remains unstarted; it is recorded here as a forward pointer so the requirement is not lost when delivery-plan.md is first drafted. See VLMS-SEC section 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Delivery Plan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