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Low-Level Design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Low-Level Design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VLMS-LLD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design/low-level-design.md, design/data-design.md, design/integration.md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added guardian-link verification model, NotificationService retry/escalation for safeguarding-critical failures, and the interim (manual, Admin-triggered) deletion-enforcement decision; corrected the open-items section so it no longer contradicts itself; cross-referenced ADR-0002/0003/0004.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42010:2022. Data model kept identical to the data requirements referenced by VLMS-SRS.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Component responsibilities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Vlms.Web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Blazor Web App — UI, Razor components, authorization policies, WebJob host.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Vlms.Domain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Entities (section 2), domain logic (promotion rules, proposal state machine).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Vlms.Infrastructure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EF Core DbContext, Azure Blob Storage client, Azure Communication Services Email client, QuestPDF certificate generation.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Vlms.Tests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Unit/integration tests — see VLMS-TEST.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Framework/hosting: .NET, Blazor Web App, hosted on Azure App Service (Linux), Basic (B1) tier (ADR-0001). No separate public API project — per integration.md, VLMS is standalone with no external system needing programmatic access. If that changes, a Vlms.Api project can be split out later without redesigning the domain/infrastructure layers.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Data model and contracts/schemas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1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Entity</w:t>
            </w:r>
          </w:p>
        </w:tc>
        <w:tc>
          <w:tcPr>
            <w:tcW w:type="dxa" w:w="30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Key fields</w:t>
            </w:r>
          </w:p>
        </w:tc>
        <w:tc>
          <w:tcPr>
            <w:tcW w:type="dxa" w:w="39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Order, Code, Name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10-level progression ladder.</w:t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Code, Title, ContentBlobKey, IsActive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Current live version of a lesson's content.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LessonChangeProposal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LessonId (nullable), ProposedByUserId, ChangeType, ProposedContent, Status, ApproverUserId, ApprovalComments, SubmittedAt, DecidedAt, ResubmissionOfProposalId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Teacher proposes; only Approver decides. Rejection supports comments + resubmission via ResubmissionOfProposalId chaining.</w:t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DOB, CurrentRankId, Status, EnrolmentDate, AssignedTeacherUserId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Duplicate-matching on Name+DOB at registration — carried over as a hypothesis (confirm at build time).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ParentGuardian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ContactInfo, IsPrimary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StudentGuardianLink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StudentId, ParentGuardianId, CreatedByUserId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Many-to-many. Created only by Admin/Teacher at student registration, never by parent self-service — see ‘Guardian link verification’ (section 7).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LessonId, CompletedByUserId, CompletedAt, Note, IsReversed, ReversedAt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and can self-correct (IsReversed/ReversedAt) — no separate Admin correction gate.</w:t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StudentLessonCompletionId, GeneratedAt, BlobKey (PDF)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on completion (QuestPDF). Real tracked record, not implicit.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RankBadge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ImageBlobKey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One badge per rank.</w:t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StudentBadge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RankBadgeId, AwardedAt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Awarded on promotion. Real tracked record.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StudentRankProgress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RankId, StartedAt, CompletedAt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Promotion history; new row starts on rank entry, closes on rank completion.</w:t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ConsentRecord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PeriodStart, PeriodEnd, PhotoMediaConsent, EmergencyMedicalInfo*, DietarySEN*, TransportOffsiteConsent, DataSharingConsent, EmergencyContact*, Status, SubmittedByParentId, ApprovedByUserId, ExpiryDate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* = sensitive, column-level masked. Annual renewal. Expiry blocks StudentLessonCompletion for that student. Approved by Safeguarding Officer or Admin only — never the Approver role.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DbsCheck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TeacherUserId, CheckDate, ExpiryDate, CertificateNumber*, Status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* = sensitive. Whole-record access restricted entirely to Admin/Safeguarding Officer — Teacher and Approver have no access at all.</w:t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AppUser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EntraObjectId, DisplayName, Email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Maps to the Entra External ID identity.</w:t>
            </w:r>
          </w:p>
        </w:tc>
      </w:tr>
      <w:tr>
        <w:tc>
          <w:tcPr>
            <w:tcW w:type="dxa" w:w="21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UserRole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UserId, Role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 ∈ {Admin, Teacher, Approver, Parent, Student, SafeguardingOfficer}. A user may hold more than one role.</w:t>
            </w:r>
          </w:p>
        </w:tc>
      </w:tr>
      <w:tr>
        <w:tc>
          <w:tcPr>
            <w:tcW w:type="dxa" w:w="21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SensitiveDataAccessLog (new — ADR-0004)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UserId, Entity, EntityId, AccessedAt, AccessType (View/Export)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Audit trail of reads, not just writes, of safeguarding data. Append-only.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Relationships (summary): Rank 1:N Lesson, 1:N RankBadge. Lesson 1:N LessonChangeProposal, 1:N StudentLessonCompletion. Student 1:N StudentLessonCompletion, 1:N StudentRankProgress, 1:N StudentBadge, 1:N ConsentRecord; N:N ParentGuardian via StudentGuardianLink. StudentLessonCompletion 1:1 Certificate (nullable until generated). AppUser 1:N UserRole; referenced by Student.AssignedTeacherUserId, LessonChangeProposal.ProposedByUserId/ApproverUserId, StudentLessonCompletion.CompletedByUserId, ConsentRecord.ApprovedByUserId, DbsCheck.TeacherUserId.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Interface specifications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external API surface (integration.md — standalone). All interaction is via Blazor server-rendered UI, or the WebJob's internal calls into Vlms.Domain services; there are no HTTP endpoints, payloads, or error semantics to specify beyond the UI component contracts implicit in Blazor.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Internal service method contracts (e.g. exact exception types raised by CompletionService/PromotionService) are not yet formally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Processing logic for core flows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LessonProposalService</w:t>
      </w:r>
      <w:r>
        <w:rPr>
          <w:rFonts w:ascii="Arial" w:hAnsi="Arial"/>
          <w:b w:val="0"/>
          <w:sz w:val="22"/>
        </w:rPr>
        <w:t xml:space="preserve"> — create/submit a proposal; Approve(proposalId, approverUserId) applies ProposedContent to Lesson; Reject(proposalId, approverUserId, comments) sets Status and enables resubmission via ResubmissionOfProposalId.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CompletionService</w:t>
      </w:r>
      <w:r>
        <w:rPr>
          <w:rFonts w:ascii="Arial" w:hAnsi="Arial"/>
          <w:b w:val="0"/>
          <w:sz w:val="22"/>
        </w:rPr>
        <w:t xml:space="preserve"> — MarkComplete(studentId, lessonId, teacherUserId, note?): blocked if the student's active ConsentRecord is expired/missing (hard business rule); on success, triggers PromotionService check and CertificateService.Generate(...).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PromotionService</w:t>
      </w:r>
      <w:r>
        <w:rPr>
          <w:rFonts w:ascii="Arial" w:hAnsi="Arial"/>
          <w:b w:val="0"/>
          <w:sz w:val="22"/>
        </w:rPr>
        <w:t xml:space="preserve"> — after a completion, checks whether all active Lessons in the student's CurrentRankId are complete; if so, closes the current StudentRankProgress row, opens the next, advances CurrentRankId, and awards the RankBadge via a new StudentBadge. At the final rank, sets Student.Status = Graduated instead of advancing further.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CertificateService</w:t>
      </w:r>
      <w:r>
        <w:rPr>
          <w:rFonts w:ascii="Arial" w:hAnsi="Arial"/>
          <w:b w:val="0"/>
          <w:sz w:val="22"/>
        </w:rPr>
        <w:t xml:space="preserve"> — generates a PDF via QuestPDF from a template, uploads to Blob Storage, writes a Certificate row.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ConsentExpiryJob</w:t>
      </w:r>
      <w:r>
        <w:rPr>
          <w:rFonts w:ascii="Arial" w:hAnsi="Arial"/>
          <w:b w:val="0"/>
          <w:sz w:val="22"/>
        </w:rPr>
        <w:t xml:space="preserve"> (WebJob, scheduled — ADR-0003) — daily sweep: flags consents/DBS checks expiring within a configurable window and expired ones, triggers NotificationService emails, escalates to Admin/Safeguarding Officer. Also runs at-risk/disengaged flagging (no completion within 8 weeks) and surfaces the ‘records due for deletion’ report (section 10).</w:t>
      </w:r>
    </w:p>
    <w:p>
      <w:pPr>
        <w:pStyle w:val="ListBullet"/>
        <w:spacing w:after="60"/>
      </w:pPr>
      <w:r>
        <w:rPr>
          <w:rFonts w:ascii="Arial" w:hAnsi="Arial"/>
          <w:b/>
          <w:sz w:val="22"/>
        </w:rPr>
        <w:t>NotificationService</w:t>
      </w:r>
      <w:r>
        <w:rPr>
          <w:rFonts w:ascii="Arial" w:hAnsi="Arial"/>
          <w:b w:val="0"/>
          <w:sz w:val="22"/>
        </w:rPr>
        <w:t xml:space="preserve"> — wraps Azure Communication Services Email for completion/promotion confirmations, consent-expiry reminders, and at-risk flags. Failure handling (added at design review): a failed send for a safeguarding-critical notification (expired consent, expired DBS) is retried with backoff and, if still failing, logged as an escalation-visible failure to Admin — a silent failure here must not be possible, since it is the mechanism that surfaces a safeguarding lapse. Non-critical notifications (e.g. routine completion confirmations) log failure without escalation.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Validation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Expired or missing consent blocks StudentLessonCompletion creation for that student (hard business rule).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Field-level validation rules beyond the consent-blocking rule (e.g. required fields, formats) are not yet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Error handling and retry policy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Notification failure handling (new this render): safeguarding-critical notifications (expired consent, expired DBS) are retried with backoff and, on continued failure, escalated as a visible failure to Admin rather than silently dropped — see NotificationService, section 4, and TC-013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Error handling/retry policy for Blob Storage upload failures (certificate generation) is not yet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Security implementation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Authentication: Microsoft Entra External ID (OIDC), per ADR-0001. Authorization: role-based (UserRole.Role: Admin/Teacher/Approver/Parent/Student/SafeguardingOfficer), modelled as application claims per ADR-0002, implemented via ASP.NET Core authorization policies, plus resource-based checks where a flat role isn't enough: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Parent may only view/act on Student records linked to them via StudentGuardianLink — and that link is only ever created by Admin/Teacher (see ‘Guardian link verification’ below), never claimed by the parent themselves.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Student may only view their own record.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Teacher sees all students in the programme (confirmed) — not scoped to Student.AssignedTeacherUserId, so teachers can cover for each other.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Column-level masking and whole-record access restriction: enforced structurally via EF Core global query filters on the DbContext (ADR-0004), not an opt-in per-call convention. DbsCheck is restricted entirely to Admin/Safeguarding Officer; ConsentRecord's sensitive fields are masked from Teacher and Approver. Every read of these is additionally written to SensitiveDataAccessLog.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Guardian link verification (new — closes a design-review gap): a StudentGuardianLink is created only by Admin (or a Teacher acting under Admin's authority) at student registration — never by parent self-service. The Admin/Teacher enters the guardian's details and issues an Entra External ID invitation already scoped to the correct Student record. This closes a gap where Entra External ID's self-service sign-up would otherwise let a parent register and claim a relationship to a child with no verification that the claim is genuine, before ever touching medical/consent data.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Data protection in transit and at rest is not yet explicitly specified beyond the platform defaults of Azure App Service, Azure SQL Database, Blob Storage and Entra External ID (TLS).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Test coverage for this model (masking, whole-record restriction, audit logging, guardian-link scoping) is the priority of the access-control test suite — TC-006, TC-007, TC-008, TC-011, TC-012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this satisfies the OWASP ASVS 5.0 access-control and logging chapters is to be confirmed at build/test time (ADR-0004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Execution &amp; invocation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web app runs as a single Azure App Service (Linux) process. The ConsentExpiryJob runs as an Azure App Service WebJob co-located with the web app (ADR-0003 — decided; no separate Azure resource, matching the solo-maintainer preference for fewest moving parts, VLMS-RAID R-002). There is no separate API surface or externally invocable interface; all invocation is either interactive (Blazor UI) or the daily scheduled sweep.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Diagrams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Component/container diagram: see VLMS-SDA section 3 (C4 context/containers) — the solution structure in section 1 above maps directly onto that diagram's ‘Web app’ container.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dedicated sequence/execution diagram for the core flows in section 4 has not yet been drawn; the flows above are documented as ordered textual steps only.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Data ownership &amp; lifecycle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System of record: this database is authoritative for all entities above (no external source of truth, per integration.md). Retention: student records (including consent, medical/dietary/SEN data) retained 3 years from the student leaving/graduating the programme. DBS checks are held against Teachers, not students, and are retained 6 years after expiry/the teacher leaving.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Deletion enforcement — interim decision (new this render, closes a previous open item): manual, Admin-triggered deletion once a record passes its retention period, via an Admin-facing ‘records due for deletion’ report generated by ConsentExpiryJob's wider sweep. Full automated purge is deferred — acceptable for solo-scale operation, recorded as a deliberate interim choice, not an oversight.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migration — clean start (A-003, VLMS-RAID).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11. Open items to resolve before build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 delivery mechanism (download from dashboard vs emailed automatically) — not yet decided (VLMS-SRS section 3.2).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Confirm the EF Core global query filter + audit log design (ADR-0004) against the OWASP ASVS 5.0 access-control and logging chapters during implementation, via TC-011/TC-012.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Resolved at design review (previously open, now closed): retention periods (3 years student, 6 years DBS), role/PII visibility boundaries, guardian-link verification, read-audit logging, masking enforcement mechanism, and the WebJob-vs-Functions choice (ADR-0003) — all confirmed above and in VLMS-SDA section 9.</w:t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Correction note: the previous render of this document asserted ‘no open items’ while simultaneously listing open items above — a self-contradiction flagged at design review. This render states the two genuinely open items plainly and separates them from the resolved set.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Low-Level Design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