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Non-Functional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Non-Functional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VLMS-NFR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non-functional.md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NFR-004 (compatibility) named with a concrete browser/OS/PWA target; NFR-001 (security) updated to cite the EF Core global query filter + read-audit-log mechanism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 25010:2023 (product quality characteristics, used as the completeness checklist); OWASP ASVS 5.0; WCAG 2.2.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Functional suitability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Covered by VLMS-SRS functional requirements; no separate functional-suitability NFR recorded.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Performance efficiency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walked. Scale is small (tens of users per role — stakeholders.md), so demanding performance/throughput targets are unlikely to be the binding constraint, but no target has been set. Acceptable to firm up at the delivery gate rather than block design approval.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Compatibility — NFR-004 (new this render)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Concrete conformance target, confirmed at design review (previously unwalked): current versions of Chrome, Edge, Safari, and Firefox, on Windows, macOS, iOS, and Android, per Blazor supported platforms (learn.microsoft.com/aspnet/core/blazor/supported-platforms). This matches the phone/tablet/browser access requirement in constraints.md without committing to legacy-browser support no user of this system needs.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constraints.md (phone/tablet/browser access), ADR-0001 (Blazor Web App/PWA choice). Verification method: cross-browser/OS manual spot-check against the named matrix (delivery gate).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Interaction capability / accessibility — NFR-002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WCAG 2.2 AA conformance — a firm, testable NFR (not just a good-practice aspiration), given parents and students of varying ability use the system. Verification method: automated tooling plus manual spot-check (VLMS-TEST).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Reliability / availability — NFR-003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Best-effort — no formal uptime SLA/RPO/RTO target. Brief downtime for deploys/maintenance is acceptable. Must reliably work during actual usage windows (evenings/weekends around sessions). Traced to: ADR-0001 (App Service tier choice). Verification method: informal — monitored during real usage windows; no formal SLA measurement in place.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Security — NFR-001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Column-level access control/masking on sensitive fields, and audit logging of reads (not just writes) of DbsCheck/ConsentRecord sensitive data — confirmed as a firm NFR.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Enforcement mechanism (confirmed at design review): EF Core global query filters, applied structurally at the DbContext level so every query is masked/restricted automatically, plus a SensitiveDataAccessLog write on every read — see adr/0004-sensitive-data-access-control.md, design/data-design.md.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BR-003, governance/security-compliance.md, ADR-0002 (role model), ADR-0004 (enforcement mechanism). Verification method: access-control test cases TC-006, TC-007, TC-008, TC-011, TC-012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mechanism fully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Maintainability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 as a discrete NFR, beyond the general solo-maintainer design preference recorded in VLMS-SDA and ADR-0001/ADR-0003 (fewest moving parts — e.g. the scheduled job is co-located as a WebJob rather than a separate Azure Functions resource).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Flexibility / scalability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 remains tens of users per role over the ~2-year horizon (A-002); the architecture is not being designed for hundreds/thousands of users. Starting Azure tiers (App Service B1, SQL Basic/S0) are sized accordingly; scaling up is a configuration change, not a redesign, if usage grows materially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Safety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 applicable — VLMS has no safety-critical control functions (stated explicitly per standards.md application notes, rather than omitted silently).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Non-Functional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