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Security &amp; Compliance Assessment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(Light)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Security &amp; Compliance Assessment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VLMS-SEC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Light — design gate; completed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governance/security-compliance.md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DPIA screening outcome now tracked as a named delivery-gate exit criterion; deletion mechanism decided (interim: manual, Admin-triggered); added guardian-link verification control; access-control section now cites the ADR-0004 enforcement mechanism.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 27001:2022; UK GDPR / Data Protection Act 2018. This is a control document, not legal advice.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Data classification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system manages safeguarding/consent data directly: medical information, photo/media consent, dietary/SEN data, DBS (Disclosure and Barring Service) check records, emergency contact details. This is special-category and children's personal data.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Regulatory obligations identified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UK GDPR / Data Protection Act 2018 obligations apply directly (lawful basis, special-category conditions, retention/deletion, data subject rights, likely a DPIA). Confirmed: no external governing body/regulator (e.g. diocese, national youth-org policy) imposes rules beyond general UK law — general UK GDPR/DPA 2018 and safeguarding good practice is the applicable bar.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High-level threat considerations / access control by role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DbsCheck records — whole-record access restricted to Admin and Safeguarding Officer only. Teacher and Approver have no access, not even a masked view.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ConsentRecord sensitive fields (medical, dietary/SEN, emergency contact) — masked from Teacher and Approver; full visibility for Admin and Safeguarding Officer.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 is scoped to curriculum/lesson-change approval only — it carries no safeguarding, consent, or DBS privileges (a discovery correction: the Approver role must not be conflated with consent/safeguarding sign-off).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 record approval (ConsentRecord.ApprovedByUserId) is performed by Safeguarding Officer or Admin, not by the Approver role.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Guardian-link verification (new this render): a StudentGuardianLink is only ever created by Admin/Teacher at student registration, never by parent self-service — closing a gap where Entra External ID's self-service sign-up would otherwise let a parent claim an unverified relationship to a child before accessing their medical/consent data (design/data-design.md).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Enforcement mechanism (confirmed at design review, ADR-0004): column-level access control/masking, and audit logging of reads (not just writes) of sensitive fields, is enforced via EF Core global query filters plus a SensitiveDataAccessLog write on every read — confirmed as NFR-001 (requirements/non-functional.md).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DPIA screening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Given the special-category and children's data in scope, a DPIA is likely required. The screening outcome against ICO guidance is deferred, but — confirmed at design review — is now tracked as a named exit criterion for the delivery gate (VLMS-DEL), rather than left open-ended or at risk of being rediscovered later. A full DPIA is itself a delivery-gate item where processing is confirmed high-risk.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Retention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Student records (including consent, medical/dietary/SEN data): retained 3 years from the student leaving/graduating the programme. DbsCheck records: retained 6 years after expiry or the teacher leaving.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Deletion enforcement — interim decision (confirmed at design review, closes a previously open item): manual, Admin-triggered deletion via a ‘records due for deletion’ report, once a record passes its retention period. Full automated purge is deferred as an acceptable trade-off at solo-maintainer/tens-of-users scale.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Hard delete vs anonymisation choice — to be picked at build time; either satisfies UK GDPR Art. 5(1)(e) if genuinely enforced.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Security &amp; Compliance Assessment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