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200"/>
      </w:pPr>
      <w:r>
        <w:rPr>
          <w:rFonts w:ascii="Arial" w:hAnsi="Arial"/>
          <w:b/>
          <w:i w:val="0"/>
          <w:color w:val="1F2937"/>
          <w:sz w:val="48"/>
        </w:rPr>
        <w:t>VLMS Software Requirements Specification</w:t>
      </w:r>
    </w:p>
    <w:p>
      <w:pPr>
        <w:spacing w:after="40" w:before="0"/>
      </w:pPr>
      <w:r>
        <w:rPr>
          <w:rFonts w:ascii="Arial" w:hAnsi="Arial"/>
          <w:b w:val="0"/>
          <w:i w:val="0"/>
          <w:color w:val="374151"/>
          <w:sz w:val="24"/>
        </w:rPr>
        <w:t>Varangians LMS — Design Gate</w:t>
      </w:r>
    </w:p>
    <w:tbl>
      <w:tblPr>
        <w:tblW w:type="auto" w:w="0"/>
        <w:jc w:val="center"/>
        <w:tblLook w:firstColumn="1" w:firstRow="1" w:lastColumn="0" w:lastRow="0" w:noHBand="0" w:noVBand="1" w:val="04A0"/>
        <w:tblBorders>
          <w:top w:val="single" w:sz="4" w:color="C7D7D9"/>
          <w:left w:val="single" w:sz="4" w:color="C7D7D9"/>
          <w:bottom w:val="single" w:sz="4" w:color="C7D7D9"/>
          <w:right w:val="single" w:sz="4" w:color="C7D7D9"/>
          <w:insideH w:val="single" w:sz="4" w:color="C7D7D9"/>
          <w:insideV w:val="single" w:sz="4" w:color="C7D7D9"/>
        </w:tblBorders>
      </w:tblPr>
      <w:tblGrid>
        <w:gridCol w:w="4513"/>
        <w:gridCol w:w="4513"/>
      </w:tblGrid>
      <w:tr>
        <w:tc>
          <w:tcPr>
            <w:tcW w:type="dxa" w:w="2400"/>
            <w:shd w:val="clear" w:color="auto" w:fill="374151"/>
          </w:tcPr>
          <w:p>
            <w:pPr>
              <w:spacing w:after="40" w:before="40"/>
            </w:pPr>
            <w:r>
              <w:rPr>
                <w:rFonts w:ascii="Arial" w:hAnsi="Arial"/>
                <w:b/>
                <w:color w:val="FFFFFF"/>
                <w:sz w:val="20"/>
              </w:rPr>
              <w:t>Field</w:t>
            </w:r>
          </w:p>
        </w:tc>
        <w:tc>
          <w:tcPr>
            <w:tcW w:type="dxa" w:w="6626"/>
            <w:shd w:val="clear" w:color="auto" w:fill="374151"/>
          </w:tcPr>
          <w:p>
            <w:pPr>
              <w:spacing w:after="40" w:before="40"/>
            </w:pPr>
            <w:r>
              <w:rPr>
                <w:rFonts w:ascii="Arial" w:hAnsi="Arial"/>
                <w:b/>
                <w:color w:val="FFFFFF"/>
                <w:sz w:val="20"/>
              </w:rPr>
              <w:t>Detail</w:t>
            </w:r>
          </w:p>
        </w:tc>
      </w:tr>
      <w:tr>
        <w:tc>
          <w:tcPr>
            <w:tcW w:type="dxa" w:w="2400"/>
            <w:shd w:val="clear" w:color="auto" w:fill="F3F4F6"/>
          </w:tcPr>
          <w:p>
            <w:pPr>
              <w:spacing w:after="40" w:before="40"/>
            </w:pPr>
            <w:r>
              <w:rPr>
                <w:rFonts w:ascii="Arial" w:hAnsi="Arial"/>
                <w:sz w:val="20"/>
              </w:rPr>
              <w:t>Document</w:t>
            </w:r>
          </w:p>
        </w:tc>
        <w:tc>
          <w:tcPr>
            <w:tcW w:type="dxa" w:w="6626"/>
            <w:shd w:val="clear" w:color="auto" w:fill="F3F4F6"/>
          </w:tcPr>
          <w:p>
            <w:pPr>
              <w:spacing w:after="40" w:before="40"/>
            </w:pPr>
            <w:r>
              <w:rPr>
                <w:rFonts w:ascii="Arial" w:hAnsi="Arial"/>
                <w:sz w:val="20"/>
              </w:rPr>
              <w:t>VLMS Software Requirements Specification</w:t>
            </w:r>
          </w:p>
        </w:tc>
      </w:tr>
      <w:tr>
        <w:tc>
          <w:tcPr>
            <w:tcW w:type="dxa" w:w="2400"/>
            <w:shd w:val="clear" w:color="auto" w:fill="FFFFFF"/>
          </w:tcPr>
          <w:p>
            <w:pPr>
              <w:spacing w:after="40" w:before="40"/>
            </w:pPr>
            <w:r>
              <w:rPr>
                <w:rFonts w:ascii="Arial" w:hAnsi="Arial"/>
                <w:sz w:val="20"/>
              </w:rPr>
              <w:t>Document code</w:t>
            </w:r>
          </w:p>
        </w:tc>
        <w:tc>
          <w:tcPr>
            <w:tcW w:type="dxa" w:w="6626"/>
            <w:shd w:val="clear" w:color="auto" w:fill="FFFFFF"/>
          </w:tcPr>
          <w:p>
            <w:pPr>
              <w:spacing w:after="40" w:before="40"/>
            </w:pPr>
            <w:r>
              <w:rPr>
                <w:rFonts w:ascii="Arial" w:hAnsi="Arial"/>
                <w:sz w:val="20"/>
              </w:rPr>
              <w:t>VLMS-SRS</w:t>
            </w:r>
          </w:p>
        </w:tc>
      </w:tr>
      <w:tr>
        <w:tc>
          <w:tcPr>
            <w:tcW w:type="dxa" w:w="2400"/>
            <w:shd w:val="clear" w:color="auto" w:fill="F3F4F6"/>
          </w:tcPr>
          <w:p>
            <w:pPr>
              <w:spacing w:after="40" w:before="40"/>
            </w:pPr>
            <w:r>
              <w:rPr>
                <w:rFonts w:ascii="Arial" w:hAnsi="Arial"/>
                <w:sz w:val="20"/>
              </w:rPr>
              <w:t>Version</w:t>
            </w:r>
          </w:p>
        </w:tc>
        <w:tc>
          <w:tcPr>
            <w:tcW w:type="dxa" w:w="6626"/>
            <w:shd w:val="clear" w:color="auto" w:fill="F3F4F6"/>
          </w:tcPr>
          <w:p>
            <w:pPr>
              <w:spacing w:after="40" w:before="40"/>
            </w:pPr>
            <w:r>
              <w:rPr>
                <w:rFonts w:ascii="Arial" w:hAnsi="Arial"/>
                <w:sz w:val="20"/>
              </w:rPr>
              <w:t>1.4</w:t>
            </w:r>
          </w:p>
        </w:tc>
      </w:tr>
      <w:tr>
        <w:tc>
          <w:tcPr>
            <w:tcW w:type="dxa" w:w="2400"/>
            <w:shd w:val="clear" w:color="auto" w:fill="FFFFFF"/>
          </w:tcPr>
          <w:p>
            <w:pPr>
              <w:spacing w:after="40" w:before="40"/>
            </w:pPr>
            <w:r>
              <w:rPr>
                <w:rFonts w:ascii="Arial" w:hAnsi="Arial"/>
                <w:sz w:val="20"/>
              </w:rPr>
              <w:t>Status</w:t>
            </w:r>
          </w:p>
        </w:tc>
        <w:tc>
          <w:tcPr>
            <w:tcW w:type="dxa" w:w="6626"/>
            <w:shd w:val="clear" w:color="auto" w:fill="FFFFFF"/>
          </w:tcPr>
          <w:p>
            <w:pPr>
              <w:spacing w:after="40" w:before="40"/>
            </w:pPr>
            <w:r>
              <w:rPr>
                <w:rFonts w:ascii="Arial" w:hAnsi="Arial"/>
                <w:sz w:val="20"/>
              </w:rPr>
              <w:t>Design gate</w:t>
            </w:r>
          </w:p>
        </w:tc>
      </w:tr>
      <w:tr>
        <w:tc>
          <w:tcPr>
            <w:tcW w:type="dxa" w:w="2400"/>
            <w:shd w:val="clear" w:color="auto" w:fill="F3F4F6"/>
          </w:tcPr>
          <w:p>
            <w:pPr>
              <w:spacing w:after="40" w:before="40"/>
            </w:pPr>
            <w:r>
              <w:rPr>
                <w:rFonts w:ascii="Arial" w:hAnsi="Arial"/>
                <w:sz w:val="20"/>
              </w:rPr>
              <w:t>Date</w:t>
            </w:r>
          </w:p>
        </w:tc>
        <w:tc>
          <w:tcPr>
            <w:tcW w:type="dxa" w:w="6626"/>
            <w:shd w:val="clear" w:color="auto" w:fill="F3F4F6"/>
          </w:tcPr>
          <w:p>
            <w:pPr>
              <w:spacing w:after="40" w:before="40"/>
            </w:pPr>
            <w:r>
              <w:rPr>
                <w:rFonts w:ascii="Arial" w:hAnsi="Arial"/>
                <w:sz w:val="20"/>
              </w:rPr>
              <w:t>17 July 2026</w:t>
            </w:r>
          </w:p>
        </w:tc>
      </w:tr>
      <w:tr>
        <w:tc>
          <w:tcPr>
            <w:tcW w:type="dxa" w:w="2400"/>
            <w:shd w:val="clear" w:color="auto" w:fill="FFFFFF"/>
          </w:tcPr>
          <w:p>
            <w:pPr>
              <w:spacing w:after="40" w:before="40"/>
            </w:pPr>
            <w:r>
              <w:rPr>
                <w:rFonts w:ascii="Arial" w:hAnsi="Arial"/>
                <w:sz w:val="20"/>
              </w:rPr>
              <w:t>Author</w:t>
            </w:r>
          </w:p>
        </w:tc>
        <w:tc>
          <w:tcPr>
            <w:tcW w:type="dxa" w:w="6626"/>
            <w:shd w:val="clear" w:color="auto" w:fill="FFFFFF"/>
          </w:tcPr>
          <w:p>
            <w:pPr>
              <w:spacing w:after="40" w:before="40"/>
            </w:pPr>
            <w:r>
              <w:rPr>
                <w:rFonts w:ascii="Arial" w:hAnsi="Arial"/>
                <w:sz w:val="20"/>
              </w:rPr>
              <w:t>Philip</w:t>
            </w:r>
          </w:p>
        </w:tc>
      </w:tr>
      <w:tr>
        <w:tc>
          <w:tcPr>
            <w:tcW w:type="dxa" w:w="2400"/>
            <w:shd w:val="clear" w:color="auto" w:fill="F3F4F6"/>
          </w:tcPr>
          <w:p>
            <w:pPr>
              <w:spacing w:after="40" w:before="40"/>
            </w:pPr>
            <w:r>
              <w:rPr>
                <w:rFonts w:ascii="Arial" w:hAnsi="Arial"/>
                <w:sz w:val="20"/>
              </w:rPr>
              <w:t>Reviewers</w:t>
            </w:r>
          </w:p>
        </w:tc>
        <w:tc>
          <w:tcPr>
            <w:tcW w:type="dxa" w:w="6626"/>
            <w:shd w:val="clear" w:color="auto" w:fill="F3F4F6"/>
          </w:tcPr>
          <w:p>
            <w:pPr>
              <w:spacing w:after="40" w:before="40"/>
            </w:pPr>
            <w:r>
              <w:rPr>
                <w:rFonts w:ascii="Arial" w:hAnsi="Arial"/>
                <w:sz w:val="20"/>
              </w:rPr>
              <w:t>Philip (sole reviewer / approver)</w:t>
            </w:r>
          </w:p>
        </w:tc>
      </w:tr>
      <w:tr>
        <w:tc>
          <w:tcPr>
            <w:tcW w:type="dxa" w:w="2400"/>
            <w:shd w:val="clear" w:color="auto" w:fill="FFFFFF"/>
          </w:tcPr>
          <w:p>
            <w:pPr>
              <w:spacing w:after="40" w:before="40"/>
            </w:pPr>
            <w:r>
              <w:rPr>
                <w:rFonts w:ascii="Arial" w:hAnsi="Arial"/>
                <w:sz w:val="20"/>
              </w:rPr>
              <w:t>Approver</w:t>
            </w:r>
          </w:p>
        </w:tc>
        <w:tc>
          <w:tcPr>
            <w:tcW w:type="dxa" w:w="6626"/>
            <w:shd w:val="clear" w:color="auto" w:fill="FFFFFF"/>
          </w:tcPr>
          <w:p>
            <w:pPr>
              <w:spacing w:after="40" w:before="40"/>
            </w:pPr>
            <w:r>
              <w:rPr>
                <w:rFonts w:ascii="Arial" w:hAnsi="Arial"/>
                <w:sz w:val="20"/>
              </w:rPr>
              <w:t>[TBC]</w:t>
            </w:r>
          </w:p>
        </w:tc>
      </w:tr>
      <w:tr>
        <w:tc>
          <w:tcPr>
            <w:tcW w:type="dxa" w:w="2400"/>
            <w:shd w:val="clear" w:color="auto" w:fill="F3F4F6"/>
          </w:tcPr>
          <w:p>
            <w:pPr>
              <w:spacing w:after="40" w:before="40"/>
            </w:pPr>
            <w:r>
              <w:rPr>
                <w:rFonts w:ascii="Arial" w:hAnsi="Arial"/>
                <w:sz w:val="20"/>
              </w:rPr>
              <w:t>Scope / phase</w:t>
            </w:r>
          </w:p>
        </w:tc>
        <w:tc>
          <w:tcPr>
            <w:tcW w:type="dxa" w:w="6626"/>
            <w:shd w:val="clear" w:color="auto" w:fill="F3F4F6"/>
          </w:tcPr>
          <w:p>
            <w:pPr>
              <w:spacing w:after="40" w:before="40"/>
            </w:pPr>
            <w:r>
              <w:rPr>
                <w:rFonts w:ascii="Arial" w:hAnsi="Arial"/>
                <w:sz w:val="20"/>
              </w:rPr>
              <w:t>Design gate</w:t>
            </w:r>
          </w:p>
        </w:tc>
      </w:tr>
      <w:tr>
        <w:tc>
          <w:tcPr>
            <w:tcW w:type="dxa" w:w="2400"/>
            <w:shd w:val="clear" w:color="auto" w:fill="FFFFFF"/>
          </w:tcPr>
          <w:p>
            <w:pPr>
              <w:spacing w:after="40" w:before="40"/>
            </w:pPr>
            <w:r>
              <w:rPr>
                <w:rFonts w:ascii="Arial" w:hAnsi="Arial"/>
                <w:sz w:val="20"/>
              </w:rPr>
              <w:t>Related documents</w:t>
            </w:r>
          </w:p>
        </w:tc>
        <w:tc>
          <w:tcPr>
            <w:tcW w:type="dxa" w:w="6626"/>
            <w:shd w:val="clear" w:color="auto" w:fill="FFFFFF"/>
          </w:tcPr>
          <w:p>
            <w:pPr>
              <w:spacing w:after="40" w:before="40"/>
            </w:pPr>
            <w:r>
              <w:rPr>
                <w:rFonts w:ascii="Arial" w:hAnsi="Arial"/>
                <w:sz w:val="20"/>
              </w:rPr>
              <w:t>functional.md, acceptance-criteria.md, integration.md</w:t>
            </w:r>
          </w:p>
        </w:tc>
      </w:tr>
    </w:tbl>
    <w:p>
      <w:pPr>
        <w:spacing w:after="80"/>
      </w:pPr>
    </w:p>
    <w:p>
      <w:pPr>
        <w:keepNext/>
        <w:spacing w:before="200" w:after="80"/>
        <w:outlineLvl w:val="1"/>
      </w:pPr>
      <w:r>
        <w:rPr>
          <w:rFonts w:ascii="Arial" w:hAnsi="Arial"/>
          <w:b/>
          <w:color w:val="1F2937"/>
          <w:sz w:val="26"/>
        </w:rPr>
        <w:t>Change History</w:t>
      </w:r>
    </w:p>
    <w:tbl>
      <w:tblPr>
        <w:tblW w:type="auto" w:w="0"/>
        <w:jc w:val="center"/>
        <w:tblLook w:firstColumn="1" w:firstRow="1" w:lastColumn="0" w:lastRow="0" w:noHBand="0" w:noVBand="1" w:val="04A0"/>
        <w:tblBorders>
          <w:top w:val="single" w:sz="4" w:color="C7D7D9"/>
          <w:left w:val="single" w:sz="4" w:color="C7D7D9"/>
          <w:bottom w:val="single" w:sz="4" w:color="C7D7D9"/>
          <w:right w:val="single" w:sz="4" w:color="C7D7D9"/>
          <w:insideH w:val="single" w:sz="4" w:color="C7D7D9"/>
          <w:insideV w:val="single" w:sz="4" w:color="C7D7D9"/>
        </w:tblBorders>
      </w:tblPr>
      <w:tblGrid>
        <w:gridCol w:w="2256"/>
        <w:gridCol w:w="2256"/>
        <w:gridCol w:w="2256"/>
        <w:gridCol w:w="2256"/>
      </w:tblGrid>
      <w:tr>
        <w:tc>
          <w:tcPr>
            <w:tcW w:type="dxa" w:w="1150"/>
            <w:shd w:val="clear" w:color="auto" w:fill="374151"/>
          </w:tcPr>
          <w:p>
            <w:pPr>
              <w:spacing w:after="40" w:before="40"/>
            </w:pPr>
            <w:r>
              <w:rPr>
                <w:rFonts w:ascii="Arial" w:hAnsi="Arial"/>
                <w:b/>
                <w:color w:val="FFFFFF"/>
                <w:sz w:val="20"/>
              </w:rPr>
              <w:t>Version</w:t>
            </w:r>
          </w:p>
        </w:tc>
        <w:tc>
          <w:tcPr>
            <w:tcW w:type="dxa" w:w="1500"/>
            <w:shd w:val="clear" w:color="auto" w:fill="374151"/>
          </w:tcPr>
          <w:p>
            <w:pPr>
              <w:spacing w:after="40" w:before="40"/>
            </w:pPr>
            <w:r>
              <w:rPr>
                <w:rFonts w:ascii="Arial" w:hAnsi="Arial"/>
                <w:b/>
                <w:color w:val="FFFFFF"/>
                <w:sz w:val="20"/>
              </w:rPr>
              <w:t>Date</w:t>
            </w:r>
          </w:p>
        </w:tc>
        <w:tc>
          <w:tcPr>
            <w:tcW w:type="dxa" w:w="2700"/>
            <w:shd w:val="clear" w:color="auto" w:fill="374151"/>
          </w:tcPr>
          <w:p>
            <w:pPr>
              <w:spacing w:after="40" w:before="40"/>
            </w:pPr>
            <w:r>
              <w:rPr>
                <w:rFonts w:ascii="Arial" w:hAnsi="Arial"/>
                <w:b/>
                <w:color w:val="FFFFFF"/>
                <w:sz w:val="20"/>
              </w:rPr>
              <w:t>Author</w:t>
            </w:r>
          </w:p>
        </w:tc>
        <w:tc>
          <w:tcPr>
            <w:tcW w:type="dxa" w:w="3676"/>
            <w:shd w:val="clear" w:color="auto" w:fill="374151"/>
          </w:tcPr>
          <w:p>
            <w:pPr>
              <w:spacing w:after="40" w:before="40"/>
            </w:pPr>
            <w:r>
              <w:rPr>
                <w:rFonts w:ascii="Arial" w:hAnsi="Arial"/>
                <w:b/>
                <w:color w:val="FFFFFF"/>
                <w:sz w:val="20"/>
              </w:rPr>
              <w:t>Summary</w:t>
            </w:r>
          </w:p>
        </w:tc>
      </w:tr>
      <w:tr>
        <w:tc>
          <w:tcPr>
            <w:tcW w:type="dxa" w:w="1150"/>
            <w:shd w:val="clear" w:color="auto" w:fill="F3F4F6"/>
          </w:tcPr>
          <w:p>
            <w:pPr>
              <w:spacing w:after="40" w:before="40"/>
            </w:pPr>
            <w:r>
              <w:rPr>
                <w:rFonts w:ascii="Arial" w:hAnsi="Arial"/>
                <w:sz w:val="20"/>
              </w:rPr>
              <w:t>1.0</w:t>
            </w:r>
          </w:p>
        </w:tc>
        <w:tc>
          <w:tcPr>
            <w:tcW w:type="dxa" w:w="1500"/>
            <w:shd w:val="clear" w:color="auto" w:fill="F3F4F6"/>
          </w:tcPr>
          <w:p>
            <w:pPr>
              <w:spacing w:after="40" w:before="40"/>
            </w:pPr>
            <w:r>
              <w:rPr>
                <w:rFonts w:ascii="Arial" w:hAnsi="Arial"/>
                <w:sz w:val="20"/>
              </w:rPr>
              <w:t>17 July 2026</w:t>
            </w:r>
          </w:p>
        </w:tc>
        <w:tc>
          <w:tcPr>
            <w:tcW w:type="dxa" w:w="2700"/>
            <w:shd w:val="clear" w:color="auto" w:fill="F3F4F6"/>
          </w:tcPr>
          <w:p>
            <w:pPr>
              <w:spacing w:after="40" w:before="40"/>
            </w:pPr>
            <w:r>
              <w:rPr>
                <w:rFonts w:ascii="Arial" w:hAnsi="Arial"/>
                <w:sz w:val="20"/>
              </w:rPr>
              <w:t>Philip</w:t>
            </w:r>
          </w:p>
        </w:tc>
        <w:tc>
          <w:tcPr>
            <w:tcW w:type="dxa" w:w="3676"/>
            <w:shd w:val="clear" w:color="auto" w:fill="F3F4F6"/>
          </w:tcPr>
          <w:p>
            <w:pPr>
              <w:spacing w:after="40" w:before="40"/>
            </w:pPr>
            <w:r>
              <w:rPr>
                <w:rFonts w:ascii="Arial" w:hAnsi="Arial"/>
                <w:sz w:val="20"/>
              </w:rPr>
              <w:t>Initial design gate release, rendered from docs/ working markdown.</w:t>
            </w:r>
          </w:p>
        </w:tc>
      </w:tr>
      <w:tr>
        <w:tc>
          <w:tcPr>
            <w:tcW w:type="dxa" w:w="1150"/>
            <w:shd w:val="clear" w:color="auto" w:fill="FFFFFF"/>
          </w:tcPr>
          <w:p>
            <w:pPr>
              <w:spacing w:after="40" w:before="40"/>
            </w:pPr>
            <w:r>
              <w:rPr>
                <w:rFonts w:ascii="Arial" w:hAnsi="Arial"/>
                <w:sz w:val="20"/>
              </w:rPr>
              <w:t>1.1</w:t>
            </w:r>
          </w:p>
        </w:tc>
        <w:tc>
          <w:tcPr>
            <w:tcW w:type="dxa" w:w="1500"/>
            <w:shd w:val="clear" w:color="auto" w:fill="FFFFFF"/>
          </w:tcPr>
          <w:p>
            <w:pPr>
              <w:spacing w:after="40" w:before="40"/>
            </w:pPr>
            <w:r>
              <w:rPr>
                <w:rFonts w:ascii="Arial" w:hAnsi="Arial"/>
                <w:sz w:val="20"/>
              </w:rPr>
              <w:t>17 July 2026</w:t>
            </w:r>
          </w:p>
        </w:tc>
        <w:tc>
          <w:tcPr>
            <w:tcW w:type="dxa" w:w="2700"/>
            <w:shd w:val="clear" w:color="auto" w:fill="FFFFFF"/>
          </w:tcPr>
          <w:p>
            <w:pPr>
              <w:spacing w:after="40" w:before="40"/>
            </w:pPr>
            <w:r>
              <w:rPr>
                <w:rFonts w:ascii="Arial" w:hAnsi="Arial"/>
                <w:sz w:val="20"/>
              </w:rPr>
              <w:t>Philip</w:t>
            </w:r>
          </w:p>
        </w:tc>
        <w:tc>
          <w:tcPr>
            <w:tcW w:type="dxa" w:w="3676"/>
            <w:shd w:val="clear" w:color="auto" w:fill="FFFFFF"/>
          </w:tcPr>
          <w:p>
            <w:pPr>
              <w:spacing w:after="40" w:before="40"/>
            </w:pPr>
            <w:r>
              <w:rPr>
                <w:rFonts w:ascii="Arial" w:hAnsi="Arial"/>
                <w:sz w:val="20"/>
              </w:rPr>
              <w:t>Re-render addressing design-gate review: functional.md now assigns discrete FR-001–FR-005 to the safeguarding/consent module (previously narrative bullets); functional requirements section updated accordingly.</w:t>
            </w:r>
          </w:p>
        </w:tc>
      </w:tr>
      <w:tr>
        <w:tc>
          <w:tcPr>
            <w:tcW w:type="dxa" w:w="1150"/>
            <w:shd w:val="clear" w:color="auto" w:fill="F3F4F6"/>
          </w:tcPr>
          <w:p>
            <w:pPr>
              <w:spacing w:after="40" w:before="40"/>
            </w:pPr>
            <w:r>
              <w:rPr>
                <w:rFonts w:ascii="Arial" w:hAnsi="Arial"/>
                <w:sz w:val="20"/>
              </w:rPr>
              <w:t>1.2</w:t>
            </w:r>
          </w:p>
        </w:tc>
        <w:tc>
          <w:tcPr>
            <w:tcW w:type="dxa" w:w="1500"/>
            <w:shd w:val="clear" w:color="auto" w:fill="F3F4F6"/>
          </w:tcPr>
          <w:p>
            <w:pPr>
              <w:spacing w:after="40" w:before="40"/>
            </w:pPr>
            <w:r>
              <w:rPr>
                <w:rFonts w:ascii="Arial" w:hAnsi="Arial"/>
                <w:sz w:val="20"/>
              </w:rPr>
              <w:t>17 July 2026</w:t>
            </w:r>
          </w:p>
        </w:tc>
        <w:tc>
          <w:tcPr>
            <w:tcW w:type="dxa" w:w="2700"/>
            <w:shd w:val="clear" w:color="auto" w:fill="F3F4F6"/>
          </w:tcPr>
          <w:p>
            <w:pPr>
              <w:spacing w:after="40" w:before="40"/>
            </w:pPr>
            <w:r>
              <w:rPr>
                <w:rFonts w:ascii="Arial" w:hAnsi="Arial"/>
                <w:sz w:val="20"/>
              </w:rPr>
              <w:t>Philip</w:t>
            </w:r>
          </w:p>
        </w:tc>
        <w:tc>
          <w:tcPr>
            <w:tcW w:type="dxa" w:w="3676"/>
            <w:shd w:val="clear" w:color="auto" w:fill="F3F4F6"/>
          </w:tcPr>
          <w:p>
            <w:pPr>
              <w:spacing w:after="40" w:before="40"/>
            </w:pPr>
            <w:r>
              <w:rPr>
                <w:rFonts w:ascii="Arial" w:hAnsi="Arial"/>
                <w:sz w:val="20"/>
              </w:rPr>
              <w:t>Re-render addressing second design-gate review: FR-005 annotated to reflect that the sensitive fields it covers now live in the dedicated ConsentSensitiveDetails entity (ADR-0004), not on ConsentRecord itself; data requirements (section 6) and reporting/audit requirements (section 7) updated for the entity split; FR-002 acceptance criteria updated to note TC-007 also verifies ConsentRecord.Status/ExpiryDate remain readable to Teacher.</w:t>
            </w:r>
          </w:p>
        </w:tc>
      </w:tr>
      <w:tr>
        <w:tc>
          <w:tcPr>
            <w:tcW w:type="dxa" w:w="1150"/>
            <w:shd w:val="clear" w:color="auto" w:fill="FFFFFF"/>
          </w:tcPr>
          <w:p>
            <w:pPr>
              <w:spacing w:after="40" w:before="40"/>
            </w:pPr>
            <w:r>
              <w:rPr>
                <w:rFonts w:ascii="Arial" w:hAnsi="Arial"/>
                <w:sz w:val="20"/>
              </w:rPr>
              <w:t>1.3</w:t>
            </w:r>
          </w:p>
        </w:tc>
        <w:tc>
          <w:tcPr>
            <w:tcW w:type="dxa" w:w="1500"/>
            <w:shd w:val="clear" w:color="auto" w:fill="FFFFFF"/>
          </w:tcPr>
          <w:p>
            <w:pPr>
              <w:spacing w:after="40" w:before="40"/>
            </w:pPr>
            <w:r>
              <w:rPr>
                <w:rFonts w:ascii="Arial" w:hAnsi="Arial"/>
                <w:sz w:val="20"/>
              </w:rPr>
              <w:t>17 July 2026</w:t>
            </w:r>
          </w:p>
        </w:tc>
        <w:tc>
          <w:tcPr>
            <w:tcW w:type="dxa" w:w="2700"/>
            <w:shd w:val="clear" w:color="auto" w:fill="FFFFFF"/>
          </w:tcPr>
          <w:p>
            <w:pPr>
              <w:spacing w:after="40" w:before="40"/>
            </w:pPr>
            <w:r>
              <w:rPr>
                <w:rFonts w:ascii="Arial" w:hAnsi="Arial"/>
                <w:sz w:val="20"/>
              </w:rPr>
              <w:t>Philip</w:t>
            </w:r>
          </w:p>
        </w:tc>
        <w:tc>
          <w:tcPr>
            <w:tcW w:type="dxa" w:w="3676"/>
            <w:shd w:val="clear" w:color="auto" w:fill="FFFFFF"/>
          </w:tcPr>
          <w:p>
            <w:pPr>
              <w:spacing w:after="40" w:before="40"/>
            </w:pPr>
            <w:r>
              <w:rPr>
                <w:rFonts w:ascii="Arial" w:hAnsi="Arial"/>
                <w:sz w:val="20"/>
              </w:rPr>
              <w:t>Re-render addressing third design-gate review (Important finding, now fixed): the read-audit write mechanism named in FR-005's acceptance criteria and section 7 corrected from DbCommandInterceptor to an IMaterializationInterceptor — the pass-2 mechanism operated on raw SQL/DbDataReader with no reliable typed EntityId; the corrected mechanism fires once per materialized entity with direct typed access, correct even across EF's compiled-query cache (ADR-0004).</w:t>
            </w:r>
          </w:p>
        </w:tc>
      </w:tr>
      <w:tr>
        <w:tc>
          <w:tcPr>
            <w:tcW w:type="dxa" w:w="1150"/>
            <w:shd w:val="clear" w:color="auto" w:fill="F3F4F6"/>
          </w:tcPr>
          <w:p>
            <w:pPr>
              <w:spacing w:after="40" w:before="40"/>
            </w:pPr>
            <w:r>
              <w:rPr>
                <w:rFonts w:ascii="Arial" w:hAnsi="Arial"/>
                <w:sz w:val="20"/>
              </w:rPr>
              <w:t>1.4</w:t>
            </w:r>
          </w:p>
        </w:tc>
        <w:tc>
          <w:tcPr>
            <w:tcW w:type="dxa" w:w="1500"/>
            <w:shd w:val="clear" w:color="auto" w:fill="F3F4F6"/>
          </w:tcPr>
          <w:p>
            <w:pPr>
              <w:spacing w:after="40" w:before="40"/>
            </w:pPr>
            <w:r>
              <w:rPr>
                <w:rFonts w:ascii="Arial" w:hAnsi="Arial"/>
                <w:sz w:val="20"/>
              </w:rPr>
              <w:t>17 July 2026</w:t>
            </w:r>
          </w:p>
        </w:tc>
        <w:tc>
          <w:tcPr>
            <w:tcW w:type="dxa" w:w="2700"/>
            <w:shd w:val="clear" w:color="auto" w:fill="F3F4F6"/>
          </w:tcPr>
          <w:p>
            <w:pPr>
              <w:spacing w:after="40" w:before="40"/>
            </w:pPr>
            <w:r>
              <w:rPr>
                <w:rFonts w:ascii="Arial" w:hAnsi="Arial"/>
                <w:sz w:val="20"/>
              </w:rPr>
              <w:t>Philip</w:t>
            </w:r>
          </w:p>
        </w:tc>
        <w:tc>
          <w:tcPr>
            <w:tcW w:type="dxa" w:w="3676"/>
            <w:shd w:val="clear" w:color="auto" w:fill="F3F4F6"/>
          </w:tcPr>
          <w:p>
            <w:pPr>
              <w:spacing w:after="40" w:before="40"/>
            </w:pPr>
            <w:r>
              <w:rPr>
                <w:rFonts w:ascii="Arial" w:hAnsi="Arial"/>
                <w:sz w:val="20"/>
              </w:rPr>
              <w:t>Re-render addressing fourth design-gate review (no Critical/Important findings — a documentation-hygiene pass only): FR-005's acceptance-criteria row corrected from “a ConsentRecord's sensitive fields” to “a ConsentSensitiveDetails record”, matching the entity-split terminology used consistently everywhere else in this document since the second design review (same stale-wording defect class as the third-review NFR-001 fix).</w:t>
            </w:r>
          </w:p>
        </w:tc>
      </w:tr>
    </w:tbl>
    <w:p>
      <w:pPr>
        <w:spacing w:after="80"/>
      </w:pPr>
    </w:p>
    <w:p>
      <w:r>
        <w:br w:type="page"/>
      </w:r>
    </w:p>
    <w:p>
      <w:pPr>
        <w:keepNext/>
        <w:spacing w:before="280" w:after="120"/>
        <w:outlineLvl w:val="0"/>
      </w:pPr>
      <w:r>
        <w:rPr>
          <w:rFonts w:ascii="Arial" w:hAnsi="Arial"/>
          <w:b/>
          <w:color w:val="111827"/>
          <w:sz w:val="32"/>
        </w:rPr>
        <w:t>Contents</w:t>
      </w:r>
    </w:p>
    <w:p>
      <w:fldSimple w:instr="TOC \o &quot;1-2&quot; \h \z \u">
        <w:r>
          <w:t>Right-click and choose "Update Field" to build the contents.</w:t>
        </w:r>
      </w:fldSimple>
    </w:p>
    <w:p>
      <w:r>
        <w:br w:type="page"/>
      </w:r>
    </w:p>
    <w:p>
      <w:pPr>
        <w:spacing w:after="120" w:before="0"/>
      </w:pPr>
      <w:r>
        <w:rPr>
          <w:rFonts w:ascii="Arial" w:hAnsi="Arial"/>
          <w:b w:val="0"/>
          <w:i/>
          <w:sz w:val="22"/>
        </w:rPr>
        <w:t>Satisfies: ISO/IEC/IEEE 29148:2018 — requirements must be singular, verifiable and unambiguous.</w:t>
      </w:r>
    </w:p>
    <w:p>
      <w:pPr>
        <w:keepNext/>
        <w:spacing w:before="280" w:after="120"/>
        <w:outlineLvl w:val="0"/>
      </w:pPr>
      <w:r>
        <w:rPr>
          <w:rFonts w:ascii="Arial" w:hAnsi="Arial"/>
          <w:b/>
          <w:color w:val="111827"/>
          <w:sz w:val="32"/>
        </w:rPr>
        <w:t>1. System purpose and context</w:t>
      </w:r>
    </w:p>
    <w:p>
      <w:pPr>
        <w:spacing w:after="120" w:before="0"/>
      </w:pPr>
      <w:r>
        <w:rPr>
          <w:rFonts w:ascii="Arial" w:hAnsi="Arial"/>
          <w:b w:val="0"/>
          <w:i w:val="0"/>
          <w:sz w:val="22"/>
        </w:rPr>
        <w:t>VLMS is a standalone .NET application — no integration is required with any existing membership/payments/calendar/booking system (integration.md). Outbound transactional email is required as a generic capability (Azure Communication Services Email, per ADR-0001), not as an integration with a specific existing platform.</w:t>
      </w:r>
    </w:p>
    <w:p>
      <w:pPr>
        <w:keepNext/>
        <w:spacing w:before="280" w:after="120"/>
        <w:outlineLvl w:val="0"/>
      </w:pPr>
      <w:r>
        <w:rPr>
          <w:rFonts w:ascii="Arial" w:hAnsi="Arial"/>
          <w:b/>
          <w:color w:val="111827"/>
          <w:sz w:val="32"/>
        </w:rPr>
        <w:t>2. User personas</w:t>
      </w:r>
    </w:p>
    <w:p>
      <w:pPr>
        <w:spacing w:after="120" w:before="0"/>
      </w:pPr>
      <w:r>
        <w:rPr>
          <w:rFonts w:ascii="Arial" w:hAnsi="Arial"/>
          <w:b w:val="0"/>
          <w:i w:val="0"/>
          <w:sz w:val="22"/>
        </w:rPr>
        <w:t>Admin/Leader, Teacher, Approver (curriculum/lesson-change approval only), Parent/Guardian, Student, Safeguarding Officer (safeguarding/consent/DBS oversight). See VLMS-BRD section 4 for role detail.</w:t>
      </w:r>
    </w:p>
    <w:p>
      <w:pPr>
        <w:keepNext/>
        <w:spacing w:before="280" w:after="120"/>
        <w:outlineLvl w:val="0"/>
      </w:pPr>
      <w:r>
        <w:rPr>
          <w:rFonts w:ascii="Arial" w:hAnsi="Arial"/>
          <w:b/>
          <w:color w:val="111827"/>
          <w:sz w:val="32"/>
        </w:rPr>
        <w:t>3. Functional requirements</w:t>
      </w:r>
    </w:p>
    <w:p>
      <w:pPr>
        <w:keepNext/>
        <w:spacing w:before="200" w:after="80"/>
        <w:outlineLvl w:val="1"/>
      </w:pPr>
      <w:r>
        <w:rPr>
          <w:rFonts w:ascii="Arial" w:hAnsi="Arial"/>
          <w:b/>
          <w:color w:val="1F2937"/>
          <w:sz w:val="26"/>
        </w:rPr>
        <w:t>3.1 Curriculum management (→ BR-002)</w:t>
      </w:r>
    </w:p>
    <w:p>
      <w:pPr>
        <w:pStyle w:val="ListBullet"/>
        <w:spacing w:after="60"/>
      </w:pPr>
      <w:r>
        <w:rPr>
          <w:rFonts w:ascii="Arial" w:hAnsi="Arial"/>
          <w:sz w:val="22"/>
        </w:rPr>
        <w:t>Any Teacher can propose a change to a lesson (content edit, new lesson, retire a lesson).</w:t>
      </w:r>
    </w:p>
    <w:p>
      <w:pPr>
        <w:pStyle w:val="ListBullet"/>
        <w:spacing w:after="60"/>
      </w:pPr>
      <w:r>
        <w:rPr>
          <w:rFonts w:ascii="Arial" w:hAnsi="Arial"/>
          <w:sz w:val="22"/>
        </w:rPr>
        <w:t>Only the Approver role can sign off/approve a proposed change before it goes live.</w:t>
      </w:r>
    </w:p>
    <w:p>
      <w:pPr>
        <w:pStyle w:val="ListBullet"/>
        <w:spacing w:after="60"/>
      </w:pPr>
      <w:r>
        <w:rPr>
          <w:rFonts w:ascii="Arial" w:hAnsi="Arial"/>
          <w:sz w:val="22"/>
        </w:rPr>
        <w:t>Review is ad hoc only — no scheduled/termly review prompt.</w:t>
      </w:r>
    </w:p>
    <w:p>
      <w:pPr>
        <w:pStyle w:val="ListBullet"/>
        <w:spacing w:after="60"/>
      </w:pPr>
      <w:r>
        <w:rPr>
          <w:rFonts w:ascii="Arial" w:hAnsi="Arial"/>
          <w:sz w:val="22"/>
        </w:rPr>
        <w:t>Rejection supports comments and resubmission: the Approver can leave feedback on a rejected proposal, and the Teacher can revise and resubmit the same proposal.</w:t>
      </w:r>
    </w:p>
    <w:p>
      <w:pPr>
        <w:spacing w:after="120" w:before="0"/>
      </w:pPr>
      <w:r>
        <w:rPr>
          <w:rFonts w:ascii="Arial" w:hAnsi="Arial"/>
          <w:b w:val="0"/>
          <w:i w:val="0"/>
          <w:sz w:val="22"/>
        </w:rPr>
        <w:t>[TBC – owner: Philip] Discrete FR-nnn numbering has not yet been assigned to this area (functional.md).</w:t>
      </w:r>
    </w:p>
    <w:p>
      <w:pPr>
        <w:keepNext/>
        <w:spacing w:before="200" w:after="80"/>
        <w:outlineLvl w:val="1"/>
      </w:pPr>
      <w:r>
        <w:rPr>
          <w:rFonts w:ascii="Arial" w:hAnsi="Arial"/>
          <w:b/>
          <w:color w:val="1F2937"/>
          <w:sz w:val="26"/>
        </w:rPr>
        <w:t>3.2 Progress tracking (→ BR-001, BR-004)</w:t>
      </w:r>
    </w:p>
    <w:p>
      <w:pPr>
        <w:pStyle w:val="ListBullet"/>
        <w:spacing w:after="60"/>
      </w:pPr>
      <w:r>
        <w:rPr>
          <w:rFonts w:ascii="Arial" w:hAnsi="Arial"/>
          <w:sz w:val="22"/>
        </w:rPr>
        <w:t>Auto-promotion: a student is automatically promoted to the next rank once every active lesson in their current rank is complete.</w:t>
      </w:r>
    </w:p>
    <w:p>
      <w:pPr>
        <w:pStyle w:val="ListBullet"/>
        <w:spacing w:after="60"/>
      </w:pPr>
      <w:r>
        <w:rPr>
          <w:rFonts w:ascii="Arial" w:hAnsi="Arial"/>
          <w:sz w:val="22"/>
        </w:rPr>
        <w:t>Certificates (per lesson completion) and badges (per rank promotion) are real tracked records with an audit trail of who received what and when.</w:t>
      </w:r>
    </w:p>
    <w:p>
      <w:pPr>
        <w:pStyle w:val="ListBullet"/>
        <w:spacing w:after="60"/>
      </w:pPr>
      <w:r>
        <w:rPr>
          <w:rFonts w:ascii="Arial" w:hAnsi="Arial"/>
          <w:sz w:val="22"/>
        </w:rPr>
        <w:t>The Teacher marks a lesson complete and can self-correct/reverse their own entry within a reasonable window — no separate Admin correction gate. An optional evidence/note field is available.</w:t>
      </w:r>
    </w:p>
    <w:p>
      <w:pPr>
        <w:pStyle w:val="ListBullet"/>
        <w:spacing w:after="60"/>
      </w:pPr>
      <w:r>
        <w:rPr>
          <w:rFonts w:ascii="Arial" w:hAnsi="Arial"/>
          <w:sz w:val="22"/>
        </w:rPr>
        <w:t>Certificates are auto-generated PDF documents (from a template) at completion time — not just a database record.</w:t>
      </w:r>
    </w:p>
    <w:p>
      <w:pPr>
        <w:spacing w:after="120" w:before="0"/>
      </w:pPr>
      <w:r>
        <w:rPr>
          <w:rFonts w:ascii="Arial" w:hAnsi="Arial"/>
          <w:b w:val="0"/>
          <w:i w:val="0"/>
          <w:sz w:val="22"/>
        </w:rPr>
        <w:t>[TBC – owner: Philip] Certificate delivery mechanism (download from dashboard vs emailed automatically) is not yet decided (functional.md). Discrete FR-nnn numbering has not yet been assigned to this area.</w:t>
      </w:r>
    </w:p>
    <w:p>
      <w:pPr>
        <w:keepNext/>
        <w:spacing w:before="200" w:after="80"/>
        <w:outlineLvl w:val="1"/>
      </w:pPr>
      <w:r>
        <w:rPr>
          <w:rFonts w:ascii="Arial" w:hAnsi="Arial"/>
          <w:b/>
          <w:color w:val="1F2937"/>
          <w:sz w:val="26"/>
        </w:rPr>
        <w:t>3.3 Safeguarding &amp; consent (→ BR-003)</w:t>
      </w:r>
    </w:p>
    <w:p>
      <w:pPr>
        <w:spacing w:after="120" w:before="0"/>
      </w:pPr>
      <w:r>
        <w:rPr>
          <w:rFonts w:ascii="Arial" w:hAnsi="Arial"/>
          <w:b w:val="0"/>
          <w:i w:val="0"/>
          <w:sz w:val="22"/>
        </w:rPr>
        <w:t>Discrete FR-nnn numbering assigned here specifically, given the safeguarding weight of this module (per design review). Each of FR-001 to FR-005 traces to BR-003 (VLMS-RTM).</w:t>
      </w:r>
    </w:p>
    <w:p>
      <w:pPr>
        <w:spacing w:after="120" w:before="0"/>
      </w:pPr>
      <w:r>
        <w:rPr>
          <w:rFonts w:ascii="Arial" w:hAnsi="Arial"/>
          <w:b w:val="0"/>
          <w:i w:val="0"/>
          <w:sz w:val="22"/>
        </w:rPr>
        <w:t>Design-level correction carried forward from ADR-0004 (not a change to these requirements' scope, but essential context for reading FR-002/FR-005 correctly): the sensitive fields referred to below now live in a dedicated ConsentSensitiveDetails entity, split out from ConsentRecord, because an EF Core global query filter can restrict a whole row but cannot mask individual columns within a row a role (Teacher) otherwise legitimately needs.</w:t>
      </w:r>
    </w:p>
    <w:tbl>
      <w:tblPr>
        <w:tblW w:type="auto" w:w="0"/>
        <w:jc w:val="center"/>
        <w:tblLook w:firstColumn="1" w:firstRow="1" w:lastColumn="0" w:lastRow="0" w:noHBand="0" w:noVBand="1" w:val="04A0"/>
        <w:tblBorders>
          <w:top w:val="single" w:sz="4" w:color="C7D7D9"/>
          <w:left w:val="single" w:sz="4" w:color="C7D7D9"/>
          <w:bottom w:val="single" w:sz="4" w:color="C7D7D9"/>
          <w:right w:val="single" w:sz="4" w:color="C7D7D9"/>
          <w:insideH w:val="single" w:sz="4" w:color="C7D7D9"/>
          <w:insideV w:val="single" w:sz="4" w:color="C7D7D9"/>
        </w:tblBorders>
      </w:tblPr>
      <w:tblGrid>
        <w:gridCol w:w="3009"/>
        <w:gridCol w:w="3009"/>
        <w:gridCol w:w="3009"/>
      </w:tblGrid>
      <w:tr>
        <w:tc>
          <w:tcPr>
            <w:tcW w:type="dxa" w:w="900"/>
            <w:shd w:val="clear" w:color="auto" w:fill="374151"/>
          </w:tcPr>
          <w:p>
            <w:pPr>
              <w:spacing w:after="40" w:before="40"/>
            </w:pPr>
            <w:r>
              <w:rPr>
                <w:rFonts w:ascii="Arial" w:hAnsi="Arial"/>
                <w:b/>
                <w:color w:val="FFFFFF"/>
                <w:sz w:val="20"/>
              </w:rPr>
              <w:t>FR</w:t>
            </w:r>
          </w:p>
        </w:tc>
        <w:tc>
          <w:tcPr>
            <w:tcW w:type="dxa" w:w="3800"/>
            <w:shd w:val="clear" w:color="auto" w:fill="374151"/>
          </w:tcPr>
          <w:p>
            <w:pPr>
              <w:spacing w:after="40" w:before="40"/>
            </w:pPr>
            <w:r>
              <w:rPr>
                <w:rFonts w:ascii="Arial" w:hAnsi="Arial"/>
                <w:b/>
                <w:color w:val="FFFFFF"/>
                <w:sz w:val="20"/>
              </w:rPr>
              <w:t>Requirement</w:t>
            </w:r>
          </w:p>
        </w:tc>
        <w:tc>
          <w:tcPr>
            <w:tcW w:type="dxa" w:w="4326"/>
            <w:shd w:val="clear" w:color="auto" w:fill="374151"/>
          </w:tcPr>
          <w:p>
            <w:pPr>
              <w:spacing w:after="40" w:before="40"/>
            </w:pPr>
            <w:r>
              <w:rPr>
                <w:rFonts w:ascii="Arial" w:hAnsi="Arial"/>
                <w:b/>
                <w:color w:val="FFFFFF"/>
                <w:sz w:val="20"/>
              </w:rPr>
              <w:t>Acceptance criteria</w:t>
            </w:r>
          </w:p>
        </w:tc>
      </w:tr>
      <w:tr>
        <w:tc>
          <w:tcPr>
            <w:tcW w:type="dxa" w:w="900"/>
            <w:shd w:val="clear" w:color="auto" w:fill="F3F4F6"/>
          </w:tcPr>
          <w:p>
            <w:pPr>
              <w:spacing w:after="40" w:before="40"/>
            </w:pPr>
            <w:r>
              <w:rPr>
                <w:rFonts w:ascii="Arial" w:hAnsi="Arial"/>
                <w:sz w:val="20"/>
              </w:rPr>
              <w:t>FR-001</w:t>
            </w:r>
          </w:p>
        </w:tc>
        <w:tc>
          <w:tcPr>
            <w:tcW w:type="dxa" w:w="3800"/>
            <w:shd w:val="clear" w:color="auto" w:fill="F3F4F6"/>
          </w:tcPr>
          <w:p>
            <w:pPr>
              <w:spacing w:after="40" w:before="40"/>
            </w:pPr>
            <w:r>
              <w:rPr>
                <w:rFonts w:ascii="Arial" w:hAnsi="Arial"/>
                <w:sz w:val="20"/>
              </w:rPr>
              <w:t>Annual parental consent record per student covering photo/media consent, emergency medical info, dietary/SEN needs, transport/off-site trip consent, and data-sharing consent. Approved by Safeguarding Officer or Admin only.</w:t>
            </w:r>
          </w:p>
        </w:tc>
        <w:tc>
          <w:tcPr>
            <w:tcW w:type="dxa" w:w="4326"/>
            <w:shd w:val="clear" w:color="auto" w:fill="F3F4F6"/>
          </w:tcPr>
          <w:p>
            <w:pPr>
              <w:spacing w:after="40" w:before="40"/>
            </w:pPr>
            <w:r>
              <w:rPr>
                <w:rFonts w:ascii="Arial" w:hAnsi="Arial"/>
                <w:sz w:val="20"/>
              </w:rPr>
              <w:t>A ConsentRecord cannot be approved by any role other than Safeguarding Officer or Admin; all five consent areas are captured on one annual record per student (the medical/dietary-SEN/emergency-contact areas are held on the linked ConsentSensitiveDetails row).</w:t>
            </w:r>
          </w:p>
        </w:tc>
      </w:tr>
      <w:tr>
        <w:tc>
          <w:tcPr>
            <w:tcW w:type="dxa" w:w="900"/>
            <w:shd w:val="clear" w:color="auto" w:fill="FFFFFF"/>
          </w:tcPr>
          <w:p>
            <w:pPr>
              <w:spacing w:after="40" w:before="40"/>
            </w:pPr>
            <w:r>
              <w:rPr>
                <w:rFonts w:ascii="Arial" w:hAnsi="Arial"/>
                <w:sz w:val="20"/>
              </w:rPr>
              <w:t>FR-002</w:t>
            </w:r>
          </w:p>
        </w:tc>
        <w:tc>
          <w:tcPr>
            <w:tcW w:type="dxa" w:w="3800"/>
            <w:shd w:val="clear" w:color="auto" w:fill="FFFFFF"/>
          </w:tcPr>
          <w:p>
            <w:pPr>
              <w:spacing w:after="40" w:before="40"/>
            </w:pPr>
            <w:r>
              <w:rPr>
                <w:rFonts w:ascii="Arial" w:hAnsi="Arial"/>
                <w:sz w:val="20"/>
              </w:rPr>
              <w:t>DBS check tracking for teachers. Whole-record access restricted to Admin and Safeguarding Officer only — Teacher and Approver have no access.</w:t>
            </w:r>
          </w:p>
        </w:tc>
        <w:tc>
          <w:tcPr>
            <w:tcW w:type="dxa" w:w="4326"/>
            <w:shd w:val="clear" w:color="auto" w:fill="FFFFFF"/>
          </w:tcPr>
          <w:p>
            <w:pPr>
              <w:spacing w:after="40" w:before="40"/>
            </w:pPr>
            <w:r>
              <w:rPr>
                <w:rFonts w:ascii="Arial" w:hAnsi="Arial"/>
                <w:sz w:val="20"/>
              </w:rPr>
              <w:t>Any attempt by Teacher/Approver to read a DbsCheck record is denied at the data-access layer (VLMS-LLD authorization model); verified by TC-007, which also confirms Teacher can still read the same student's ConsentRecord.Status/ExpiryDate.</w:t>
            </w:r>
          </w:p>
        </w:tc>
      </w:tr>
      <w:tr>
        <w:tc>
          <w:tcPr>
            <w:tcW w:type="dxa" w:w="900"/>
            <w:shd w:val="clear" w:color="auto" w:fill="F3F4F6"/>
          </w:tcPr>
          <w:p>
            <w:pPr>
              <w:spacing w:after="40" w:before="40"/>
            </w:pPr>
            <w:r>
              <w:rPr>
                <w:rFonts w:ascii="Arial" w:hAnsi="Arial"/>
                <w:sz w:val="20"/>
              </w:rPr>
              <w:t>FR-003</w:t>
            </w:r>
          </w:p>
        </w:tc>
        <w:tc>
          <w:tcPr>
            <w:tcW w:type="dxa" w:w="3800"/>
            <w:shd w:val="clear" w:color="auto" w:fill="F3F4F6"/>
          </w:tcPr>
          <w:p>
            <w:pPr>
              <w:spacing w:after="40" w:before="40"/>
            </w:pPr>
            <w:r>
              <w:rPr>
                <w:rFonts w:ascii="Arial" w:hAnsi="Arial"/>
                <w:sz w:val="20"/>
              </w:rPr>
              <w:t>Expiry monitoring: consent and DBS expiry are tracked with escalating alerts; expired consent blocks lesson completion for that student until renewed.</w:t>
            </w:r>
          </w:p>
        </w:tc>
        <w:tc>
          <w:tcPr>
            <w:tcW w:type="dxa" w:w="4326"/>
            <w:shd w:val="clear" w:color="auto" w:fill="F3F4F6"/>
          </w:tcPr>
          <w:p>
            <w:pPr>
              <w:spacing w:after="40" w:before="40"/>
            </w:pPr>
            <w:r>
              <w:rPr>
                <w:rFonts w:ascii="Arial" w:hAnsi="Arial"/>
                <w:sz w:val="20"/>
              </w:rPr>
              <w:t>StudentLessonCompletion creation is blocked while the student's active ConsentRecord is expired or missing; verified by TC-002, TC-009.</w:t>
            </w:r>
          </w:p>
        </w:tc>
      </w:tr>
      <w:tr>
        <w:tc>
          <w:tcPr>
            <w:tcW w:type="dxa" w:w="900"/>
            <w:shd w:val="clear" w:color="auto" w:fill="FFFFFF"/>
          </w:tcPr>
          <w:p>
            <w:pPr>
              <w:spacing w:after="40" w:before="40"/>
            </w:pPr>
            <w:r>
              <w:rPr>
                <w:rFonts w:ascii="Arial" w:hAnsi="Arial"/>
                <w:sz w:val="20"/>
              </w:rPr>
              <w:t>FR-004</w:t>
            </w:r>
          </w:p>
        </w:tc>
        <w:tc>
          <w:tcPr>
            <w:tcW w:type="dxa" w:w="3800"/>
            <w:shd w:val="clear" w:color="auto" w:fill="FFFFFF"/>
          </w:tcPr>
          <w:p>
            <w:pPr>
              <w:spacing w:after="40" w:before="40"/>
            </w:pPr>
            <w:r>
              <w:rPr>
                <w:rFonts w:ascii="Arial" w:hAnsi="Arial"/>
                <w:sz w:val="20"/>
              </w:rPr>
              <w:t>A StudentGuardianLink is created only by Admin/Teacher at student registration — never by parent self-service — before a parent can access any progress, medical, or consent data for that child.</w:t>
            </w:r>
          </w:p>
        </w:tc>
        <w:tc>
          <w:tcPr>
            <w:tcW w:type="dxa" w:w="4326"/>
            <w:shd w:val="clear" w:color="auto" w:fill="FFFFFF"/>
          </w:tcPr>
          <w:p>
            <w:pPr>
              <w:spacing w:after="40" w:before="40"/>
            </w:pPr>
            <w:r>
              <w:rPr>
                <w:rFonts w:ascii="Arial" w:hAnsi="Arial"/>
                <w:sz w:val="20"/>
              </w:rPr>
              <w:t>No UI or API path exists for a parent to create or claim a StudentGuardianLink; verified by TC-012.</w:t>
            </w:r>
          </w:p>
        </w:tc>
      </w:tr>
      <w:tr>
        <w:tc>
          <w:tcPr>
            <w:tcW w:type="dxa" w:w="900"/>
            <w:shd w:val="clear" w:color="auto" w:fill="F3F4F6"/>
          </w:tcPr>
          <w:p>
            <w:pPr>
              <w:spacing w:after="40" w:before="40"/>
            </w:pPr>
            <w:r>
              <w:rPr>
                <w:rFonts w:ascii="Arial" w:hAnsi="Arial"/>
                <w:sz w:val="20"/>
              </w:rPr>
              <w:t>FR-005</w:t>
            </w:r>
          </w:p>
        </w:tc>
        <w:tc>
          <w:tcPr>
            <w:tcW w:type="dxa" w:w="3800"/>
            <w:shd w:val="clear" w:color="auto" w:fill="F3F4F6"/>
          </w:tcPr>
          <w:p>
            <w:pPr>
              <w:spacing w:after="40" w:before="40"/>
            </w:pPr>
            <w:r>
              <w:rPr>
                <w:rFonts w:ascii="Arial" w:hAnsi="Arial"/>
                <w:sz w:val="20"/>
              </w:rPr>
              <w:t>Every read of a DbsCheck record, or of a ConsentSensitiveDetails record, is written to an audit log (who, what, when).</w:t>
            </w:r>
          </w:p>
        </w:tc>
        <w:tc>
          <w:tcPr>
            <w:tcW w:type="dxa" w:w="4326"/>
            <w:shd w:val="clear" w:color="auto" w:fill="F3F4F6"/>
          </w:tcPr>
          <w:p>
            <w:pPr>
              <w:spacing w:after="40" w:before="40"/>
            </w:pPr>
            <w:r>
              <w:rPr>
                <w:rFonts w:ascii="Arial" w:hAnsi="Arial"/>
                <w:sz w:val="20"/>
              </w:rPr>
              <w:t>A SensitiveDataAccessLog row is created on every such read of DbsCheck or ConsentSensitiveDetails, written via an IMaterializationInterceptor registered on the DbContext (fires once per materialized entity, direct typed access, correct even across EF's compiled-query cache); includes read-only report/export access, and a multi-row read (e.g. several DbsCheck records listed at once) writes one entry per row; verified by TC-011.</w:t>
            </w:r>
          </w:p>
        </w:tc>
      </w:tr>
    </w:tbl>
    <w:p>
      <w:pPr>
        <w:spacing w:after="80"/>
      </w:pPr>
    </w:p>
    <w:p>
      <w:pPr>
        <w:keepNext/>
        <w:spacing w:before="200" w:after="80"/>
        <w:outlineLvl w:val="1"/>
      </w:pPr>
      <w:r>
        <w:rPr>
          <w:rFonts w:ascii="Arial" w:hAnsi="Arial"/>
          <w:b/>
          <w:color w:val="1F2937"/>
          <w:sz w:val="26"/>
        </w:rPr>
        <w:t>3.4 Parent engagement (→ BR-005)</w:t>
      </w:r>
    </w:p>
    <w:p>
      <w:pPr>
        <w:spacing w:after="120" w:before="0"/>
      </w:pPr>
      <w:r>
        <w:rPr>
          <w:rFonts w:ascii="Arial" w:hAnsi="Arial"/>
          <w:b w:val="0"/>
          <w:i w:val="0"/>
          <w:sz w:val="22"/>
        </w:rPr>
        <w:t>Parents get both an in-app dashboard (view own child's progress, certificates, badges) AND proactive notifications (e.g. email on lesson completion/rank promotion, consent-expiry reminders) — not dashboard-only.</w:t>
      </w:r>
    </w:p>
    <w:p>
      <w:pPr>
        <w:spacing w:after="120" w:before="0"/>
      </w:pPr>
      <w:r>
        <w:rPr>
          <w:rFonts w:ascii="Arial" w:hAnsi="Arial"/>
          <w:b w:val="0"/>
          <w:i w:val="0"/>
          <w:sz w:val="22"/>
        </w:rPr>
        <w:t>[TBC – owner: Philip] Discrete FR-nnn numbering has not yet been assigned to this area.</w:t>
      </w:r>
    </w:p>
    <w:p>
      <w:pPr>
        <w:keepNext/>
        <w:spacing w:before="200" w:after="80"/>
        <w:outlineLvl w:val="1"/>
      </w:pPr>
      <w:r>
        <w:rPr>
          <w:rFonts w:ascii="Arial" w:hAnsi="Arial"/>
          <w:b/>
          <w:color w:val="1F2937"/>
          <w:sz w:val="26"/>
        </w:rPr>
        <w:t>3.5 Reporting (→ BR-006)</w:t>
      </w:r>
    </w:p>
    <w:p>
      <w:pPr>
        <w:pStyle w:val="ListBullet"/>
        <w:spacing w:after="60"/>
      </w:pPr>
      <w:r>
        <w:rPr>
          <w:rFonts w:ascii="Arial" w:hAnsi="Arial"/>
          <w:sz w:val="22"/>
        </w:rPr>
        <w:t>Core progress reports: rank/completion stats, promotion history.</w:t>
      </w:r>
    </w:p>
    <w:p>
      <w:pPr>
        <w:pStyle w:val="ListBullet"/>
        <w:spacing w:after="60"/>
      </w:pPr>
      <w:r>
        <w:rPr>
          <w:rFonts w:ascii="Arial" w:hAnsi="Arial"/>
          <w:sz w:val="22"/>
        </w:rPr>
        <w:t>At-risk/disengaged student flagging: no lesson completions within 8 weeks, surfaced to Admin for proactive follow-up.</w:t>
      </w:r>
    </w:p>
    <w:p>
      <w:pPr>
        <w:spacing w:after="120" w:before="0"/>
      </w:pPr>
      <w:r>
        <w:rPr>
          <w:rFonts w:ascii="Arial" w:hAnsi="Arial"/>
          <w:b w:val="0"/>
          <w:i w:val="0"/>
          <w:sz w:val="22"/>
        </w:rPr>
        <w:t>[TBC – owner: Philip] Discrete FR-nnn numbering has not yet been assigned to this area.</w:t>
      </w:r>
    </w:p>
    <w:p>
      <w:pPr>
        <w:keepNext/>
        <w:spacing w:before="280" w:after="120"/>
        <w:outlineLvl w:val="0"/>
      </w:pPr>
      <w:r>
        <w:rPr>
          <w:rFonts w:ascii="Arial" w:hAnsi="Arial"/>
          <w:b/>
          <w:color w:val="111827"/>
          <w:sz w:val="32"/>
        </w:rPr>
        <w:t>4. Business rules</w:t>
      </w:r>
    </w:p>
    <w:p>
      <w:pPr>
        <w:pStyle w:val="ListBullet"/>
        <w:spacing w:after="60"/>
      </w:pPr>
      <w:r>
        <w:rPr>
          <w:rFonts w:ascii="Arial" w:hAnsi="Arial"/>
          <w:sz w:val="22"/>
        </w:rPr>
        <w:t>Auto-promotion rule: all active lessons in the current rank complete → promote; at the final rank, Student.Status becomes Graduated instead of advancing further.</w:t>
      </w:r>
    </w:p>
    <w:p>
      <w:pPr>
        <w:pStyle w:val="ListBullet"/>
        <w:spacing w:after="60"/>
      </w:pPr>
      <w:r>
        <w:rPr>
          <w:rFonts w:ascii="Arial" w:hAnsi="Arial"/>
          <w:sz w:val="22"/>
        </w:rPr>
        <w:t>Consent-expiry blocking rule (hard business rule): expired or missing consent blocks lesson completion. This check reads only the non-sensitive ConsentRecord fields (Status/ExpiryDate) — it never reads ConsentSensitiveDetails.</w:t>
      </w:r>
    </w:p>
    <w:p>
      <w:pPr>
        <w:pStyle w:val="ListBullet"/>
        <w:spacing w:after="60"/>
      </w:pPr>
      <w:r>
        <w:rPr>
          <w:rFonts w:ascii="Arial" w:hAnsi="Arial"/>
          <w:sz w:val="22"/>
        </w:rPr>
        <w:t>The Approver role's remit is curriculum/lesson-change approval only; it has no role in consent or DBS approval.</w:t>
      </w:r>
    </w:p>
    <w:p>
      <w:pPr>
        <w:pStyle w:val="ListBullet"/>
        <w:spacing w:after="60"/>
      </w:pPr>
      <w:r>
        <w:rPr>
          <w:rFonts w:ascii="Arial" w:hAnsi="Arial"/>
          <w:sz w:val="22"/>
        </w:rPr>
        <w:t>A single user may hold more than one role (e.g. a Teacher who is also the Approver) — data-design.md (UserRole).</w:t>
      </w:r>
    </w:p>
    <w:p>
      <w:pPr>
        <w:keepNext/>
        <w:spacing w:before="280" w:after="120"/>
        <w:outlineLvl w:val="0"/>
      </w:pPr>
      <w:r>
        <w:rPr>
          <w:rFonts w:ascii="Arial" w:hAnsi="Arial"/>
          <w:b/>
          <w:color w:val="111827"/>
          <w:sz w:val="32"/>
        </w:rPr>
        <w:t>5. Interface requirements</w:t>
      </w:r>
    </w:p>
    <w:p>
      <w:pPr>
        <w:spacing w:after="120" w:before="0"/>
      </w:pPr>
      <w:r>
        <w:rPr>
          <w:rFonts w:ascii="Arial" w:hAnsi="Arial"/>
          <w:b w:val="0"/>
          <w:i w:val="0"/>
          <w:sz w:val="22"/>
        </w:rPr>
        <w:t>None — VLMS is standalone; no external system integration is required (integration.md). Outbound email only, as a generic transactional-email capability, not integration with a specific platform.</w:t>
      </w:r>
    </w:p>
    <w:p>
      <w:pPr>
        <w:keepNext/>
        <w:spacing w:before="280" w:after="120"/>
        <w:outlineLvl w:val="0"/>
      </w:pPr>
      <w:r>
        <w:rPr>
          <w:rFonts w:ascii="Arial" w:hAnsi="Arial"/>
          <w:b/>
          <w:color w:val="111827"/>
          <w:sz w:val="32"/>
        </w:rPr>
        <w:t>6. Data requirements (entities, ownership, migration scope)</w:t>
      </w:r>
    </w:p>
    <w:p>
      <w:pPr>
        <w:pStyle w:val="ListBullet"/>
        <w:spacing w:after="60"/>
      </w:pPr>
      <w:r>
        <w:rPr>
          <w:rFonts w:ascii="Arial" w:hAnsi="Arial"/>
          <w:sz w:val="22"/>
        </w:rPr>
        <w:t>Entities: see VLMS-LLD section 2 for the full data model (Rank, Lesson, LessonChangeProposal, Student, ParentGuardian, StudentGuardianLink, StudentLessonCompletion, Certificate, RankBadge, StudentBadge, StudentRankProgress, ConsentRecord, ConsentSensitiveDetails, DbsCheck, AppUser, UserRole, SensitiveDataAccessLog). ConsentRecord and ConsentSensitiveDetails are two entities, in a 1:1 relationship, since a second design review found that the original single-entity, column-masked design could not be enforced by the EF Core global query filter mechanism chosen for it (ADR-0004).</w:t>
      </w:r>
    </w:p>
    <w:p>
      <w:pPr>
        <w:pStyle w:val="ListBullet"/>
        <w:spacing w:after="60"/>
      </w:pPr>
      <w:r>
        <w:rPr>
          <w:rFonts w:ascii="Arial" w:hAnsi="Arial"/>
          <w:sz w:val="22"/>
        </w:rPr>
        <w:t>Ownership: this database is the sole system of record — no external source of truth (integration.md).</w:t>
      </w:r>
    </w:p>
    <w:p>
      <w:pPr>
        <w:pStyle w:val="ListBullet"/>
        <w:spacing w:after="60"/>
      </w:pPr>
      <w:r>
        <w:rPr>
          <w:rFonts w:ascii="Arial" w:hAnsi="Arial"/>
          <w:sz w:val="22"/>
        </w:rPr>
        <w:t>Migration: none — clean start; no historical spreadsheet data is migrated (A-003, VLMS-RAID).</w:t>
      </w:r>
    </w:p>
    <w:p>
      <w:pPr>
        <w:keepNext/>
        <w:spacing w:before="280" w:after="120"/>
        <w:outlineLvl w:val="0"/>
      </w:pPr>
      <w:r>
        <w:rPr>
          <w:rFonts w:ascii="Arial" w:hAnsi="Arial"/>
          <w:b/>
          <w:color w:val="111827"/>
          <w:sz w:val="32"/>
        </w:rPr>
        <w:t>7. Reporting and audit requirements</w:t>
      </w:r>
    </w:p>
    <w:p>
      <w:pPr>
        <w:spacing w:after="120" w:before="0"/>
      </w:pPr>
      <w:r>
        <w:rPr>
          <w:rFonts w:ascii="Arial" w:hAnsi="Arial"/>
          <w:b w:val="0"/>
          <w:i w:val="0"/>
          <w:sz w:val="22"/>
        </w:rPr>
        <w:t>Core progress reports and at-risk flagging (section 3.5). Audit requirements: certificates/badges as tracked records with an audit trail of who received what and when; SensitiveDataAccessLog for every read of DbsCheck/ConsentSensitiveDetails (FR-005), written by an IMaterializationInterceptor and retained 6 years with UPDATE/DELETE denied at the database permission level (ADR-0004).</w:t>
      </w:r>
    </w:p>
    <w:sectPr w:rsidR="00FC693F" w:rsidRPr="0006063C" w:rsidSect="00034616">
      <w:headerReference w:type="default" r:id="rId9"/>
      <w:footerReference w:type="default" r:id="rId10"/>
      <w:pgSz w:w="11906" w:h="16838"/>
      <w:pgMar w:top="1440" w:right="1440" w:bottom="1440" w:left="144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26" w:val="right"/>
      </w:tabs>
    </w:pPr>
    <w:r>
      <w:rPr>
        <w:rFonts w:ascii="Arial" w:hAnsi="Arial"/>
        <w:color w:val="6B7280"/>
        <w:sz w:val="16"/>
      </w:rPr>
      <w:t>VLMS Software Requirements Specification</w:t>
      <w:tab/>
    </w:r>
    <w:r>
      <w:rPr>
        <w:rFonts w:ascii="Arial" w:hAnsi="Arial"/>
        <w:color w:val="6B7280"/>
        <w:sz w:val="16"/>
      </w:rPr>
      <w:t xml:space="preserve">Page </w:t>
    </w:r>
    <w:r>
      <w:rPr>
        <w:rFonts w:ascii="Arial" w:hAnsi="Arial"/>
        <w:color w:val="6B7280"/>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