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530" w:rsidRPr="006A1530" w:rsidRDefault="006A1530" w:rsidP="006A1530">
      <w:pPr>
        <w:spacing w:before="240" w:after="240" w:line="240" w:lineRule="auto"/>
        <w:rPr>
          <w:rFonts w:ascii="Times New Roman" w:eastAsia="Calibri" w:hAnsi="Times New Roman" w:cs="Times New Roman"/>
          <w:bCs/>
          <w:color w:val="000000"/>
          <w:sz w:val="24"/>
          <w:lang w:val="en-US"/>
        </w:rPr>
      </w:pPr>
      <w:r w:rsidRPr="006A1530">
        <w:rPr>
          <w:rFonts w:ascii="Times New Roman" w:eastAsia="Calibri" w:hAnsi="Times New Roman" w:cs="Times New Roman"/>
          <w:bCs/>
          <w:color w:val="000000"/>
          <w:sz w:val="24"/>
          <w:lang w:val="en-US"/>
        </w:rPr>
        <w:t xml:space="preserve">Table </w:t>
      </w:r>
      <w:r w:rsidRPr="006A1530">
        <w:rPr>
          <w:rFonts w:ascii="Times New Roman" w:eastAsia="Calibri" w:hAnsi="Times New Roman" w:cs="Times New Roman"/>
          <w:bCs/>
          <w:color w:val="000000"/>
          <w:sz w:val="24"/>
          <w:lang w:val="en-US"/>
        </w:rPr>
        <w:fldChar w:fldCharType="begin"/>
      </w:r>
      <w:r w:rsidRPr="006A1530">
        <w:rPr>
          <w:rFonts w:ascii="Times New Roman" w:eastAsia="Calibri" w:hAnsi="Times New Roman" w:cs="Times New Roman"/>
          <w:bCs/>
          <w:color w:val="000000"/>
          <w:sz w:val="24"/>
          <w:lang w:val="en-US"/>
        </w:rPr>
        <w:instrText xml:space="preserve"> SEQ Table \* ARABIC </w:instrText>
      </w:r>
      <w:r w:rsidRPr="006A1530">
        <w:rPr>
          <w:rFonts w:ascii="Times New Roman" w:eastAsia="Calibri" w:hAnsi="Times New Roman" w:cs="Times New Roman"/>
          <w:bCs/>
          <w:color w:val="000000"/>
          <w:sz w:val="24"/>
          <w:lang w:val="en-US"/>
        </w:rPr>
        <w:fldChar w:fldCharType="separate"/>
      </w:r>
      <w:r w:rsidRPr="006A1530">
        <w:rPr>
          <w:rFonts w:ascii="Times New Roman" w:eastAsia="Calibri" w:hAnsi="Times New Roman" w:cs="Times New Roman"/>
          <w:bCs/>
          <w:noProof/>
          <w:color w:val="000000"/>
          <w:sz w:val="24"/>
          <w:lang w:val="en-US"/>
        </w:rPr>
        <w:t>1</w:t>
      </w:r>
      <w:r w:rsidRPr="006A1530">
        <w:rPr>
          <w:rFonts w:ascii="Times New Roman" w:eastAsia="Calibri" w:hAnsi="Times New Roman" w:cs="Times New Roman"/>
          <w:bCs/>
          <w:color w:val="000000"/>
          <w:sz w:val="24"/>
          <w:lang w:val="en-US"/>
        </w:rPr>
        <w:fldChar w:fldCharType="end"/>
      </w:r>
      <w:r w:rsidRPr="006A1530">
        <w:rPr>
          <w:rFonts w:ascii="Times New Roman" w:eastAsia="Calibri" w:hAnsi="Times New Roman" w:cs="Times New Roman"/>
          <w:bCs/>
          <w:color w:val="000000"/>
          <w:sz w:val="24"/>
          <w:lang w:val="en-US"/>
        </w:rPr>
        <w:t>: Overview of LTC typology indicators</w:t>
      </w:r>
      <w:r w:rsidRPr="006A1530">
        <w:rPr>
          <w:rFonts w:ascii="Times New Roman" w:eastAsia="Calibri" w:hAnsi="Times New Roman" w:cs="Times New Roman"/>
          <w:bCs/>
          <w:color w:val="000000"/>
          <w:sz w:val="24"/>
          <w:vertAlign w:val="superscript"/>
          <w:lang w:val="en-US"/>
        </w:rPr>
        <w:t>1</w:t>
      </w:r>
    </w:p>
    <w:tbl>
      <w:tblPr>
        <w:tblW w:w="8506" w:type="dxa"/>
        <w:tblLayout w:type="fixed"/>
        <w:tblLook w:val="0000" w:firstRow="0" w:lastRow="0" w:firstColumn="0" w:lastColumn="0" w:noHBand="0" w:noVBand="0"/>
      </w:tblPr>
      <w:tblGrid>
        <w:gridCol w:w="3828"/>
        <w:gridCol w:w="1276"/>
        <w:gridCol w:w="851"/>
        <w:gridCol w:w="851"/>
        <w:gridCol w:w="709"/>
        <w:gridCol w:w="991"/>
      </w:tblGrid>
      <w:tr w:rsidR="006A1530" w:rsidRPr="006A1530" w:rsidTr="0091536B">
        <w:trPr>
          <w:trHeight w:val="283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Abbreviation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Mean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SD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Min.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Max.</w:t>
            </w:r>
          </w:p>
        </w:tc>
      </w:tr>
      <w:tr w:rsidR="006A1530" w:rsidRPr="006A1530" w:rsidTr="0091536B">
        <w:trPr>
          <w:trHeight w:val="283"/>
        </w:trPr>
        <w:tc>
          <w:tcPr>
            <w:tcW w:w="38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i/>
                <w:iCs/>
                <w:color w:val="000000"/>
                <w:sz w:val="20"/>
                <w:lang w:val="en-US"/>
              </w:rPr>
              <w:t>I: Supply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</w:p>
        </w:tc>
      </w:tr>
      <w:tr w:rsidR="006A1530" w:rsidRPr="006A1530" w:rsidTr="0091536B">
        <w:trPr>
          <w:trHeight w:val="283"/>
        </w:trPr>
        <w:tc>
          <w:tcPr>
            <w:tcW w:w="3828" w:type="dxa"/>
            <w:shd w:val="clear" w:color="auto" w:fill="auto"/>
            <w:vAlign w:val="center"/>
          </w:tcPr>
          <w:p w:rsidR="006A1530" w:rsidRPr="006A1530" w:rsidRDefault="006A1530" w:rsidP="006A1530">
            <w:pPr>
              <w:spacing w:after="0" w:line="276" w:lineRule="auto"/>
              <w:ind w:left="142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Expenditure per capita in US$, PPP</w:t>
            </w:r>
          </w:p>
        </w:tc>
        <w:tc>
          <w:tcPr>
            <w:tcW w:w="1276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Expenditure</w:t>
            </w:r>
          </w:p>
        </w:tc>
        <w:tc>
          <w:tcPr>
            <w:tcW w:w="851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709.89</w:t>
            </w:r>
          </w:p>
        </w:tc>
        <w:tc>
          <w:tcPr>
            <w:tcW w:w="851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524.81</w:t>
            </w:r>
          </w:p>
        </w:tc>
        <w:tc>
          <w:tcPr>
            <w:tcW w:w="709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9.48</w:t>
            </w:r>
          </w:p>
        </w:tc>
        <w:tc>
          <w:tcPr>
            <w:tcW w:w="991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1745.09</w:t>
            </w:r>
          </w:p>
        </w:tc>
      </w:tr>
      <w:tr w:rsidR="006A1530" w:rsidRPr="006A1530" w:rsidTr="0091536B">
        <w:trPr>
          <w:trHeight w:val="283"/>
        </w:trPr>
        <w:tc>
          <w:tcPr>
            <w:tcW w:w="3828" w:type="dxa"/>
            <w:shd w:val="clear" w:color="auto" w:fill="auto"/>
            <w:vAlign w:val="center"/>
          </w:tcPr>
          <w:p w:rsidR="006A1530" w:rsidRPr="006A1530" w:rsidRDefault="006A1530" w:rsidP="006A1530">
            <w:pPr>
              <w:spacing w:after="0" w:line="276" w:lineRule="auto"/>
              <w:ind w:left="142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Number of beds per 1,000 inhabitants</w:t>
            </w:r>
          </w:p>
        </w:tc>
        <w:tc>
          <w:tcPr>
            <w:tcW w:w="1276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Beds</w:t>
            </w:r>
          </w:p>
        </w:tc>
        <w:tc>
          <w:tcPr>
            <w:tcW w:w="851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47.73</w:t>
            </w:r>
          </w:p>
        </w:tc>
        <w:tc>
          <w:tcPr>
            <w:tcW w:w="851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18.27</w:t>
            </w:r>
          </w:p>
        </w:tc>
        <w:tc>
          <w:tcPr>
            <w:tcW w:w="709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12.2</w:t>
            </w:r>
          </w:p>
        </w:tc>
        <w:tc>
          <w:tcPr>
            <w:tcW w:w="991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85</w:t>
            </w:r>
          </w:p>
        </w:tc>
      </w:tr>
      <w:tr w:rsidR="006A1530" w:rsidRPr="006A1530" w:rsidTr="0091536B">
        <w:trPr>
          <w:trHeight w:val="283"/>
        </w:trPr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1530" w:rsidRPr="006A1530" w:rsidRDefault="006A1530" w:rsidP="006A1530">
            <w:pPr>
              <w:spacing w:after="0" w:line="276" w:lineRule="auto"/>
              <w:ind w:left="142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 xml:space="preserve">Number of recipients in institutions, </w:t>
            </w:r>
          </w:p>
          <w:p w:rsidR="006A1530" w:rsidRPr="006A1530" w:rsidRDefault="006A1530" w:rsidP="006A1530">
            <w:pPr>
              <w:spacing w:after="0" w:line="276" w:lineRule="auto"/>
              <w:ind w:left="142" w:firstLine="142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% of all people aged 65+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Recipients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3.88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1.66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0.43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7.17</w:t>
            </w:r>
          </w:p>
        </w:tc>
      </w:tr>
      <w:tr w:rsidR="006A1530" w:rsidRPr="006A1530" w:rsidTr="0091536B">
        <w:trPr>
          <w:trHeight w:val="283"/>
        </w:trPr>
        <w:tc>
          <w:tcPr>
            <w:tcW w:w="38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i/>
                <w:iCs/>
                <w:color w:val="000000"/>
                <w:sz w:val="20"/>
                <w:lang w:val="en-US"/>
              </w:rPr>
              <w:t>II: Public-private mix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</w:p>
        </w:tc>
      </w:tr>
      <w:tr w:rsidR="006A1530" w:rsidRPr="006A1530" w:rsidTr="0091536B">
        <w:trPr>
          <w:trHeight w:val="283"/>
        </w:trPr>
        <w:tc>
          <w:tcPr>
            <w:tcW w:w="3828" w:type="dxa"/>
            <w:shd w:val="clear" w:color="auto" w:fill="auto"/>
            <w:vAlign w:val="center"/>
          </w:tcPr>
          <w:p w:rsidR="006A1530" w:rsidRPr="006A1530" w:rsidRDefault="006A1530" w:rsidP="006A1530">
            <w:pPr>
              <w:spacing w:after="0" w:line="276" w:lineRule="auto"/>
              <w:ind w:left="142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 xml:space="preserve">Share of private expenditure, </w:t>
            </w:r>
          </w:p>
          <w:p w:rsidR="006A1530" w:rsidRPr="006A1530" w:rsidRDefault="006A1530" w:rsidP="006A1530">
            <w:pPr>
              <w:spacing w:after="0" w:line="276" w:lineRule="auto"/>
              <w:ind w:left="142" w:firstLine="142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% of total expenditure</w:t>
            </w:r>
          </w:p>
        </w:tc>
        <w:tc>
          <w:tcPr>
            <w:tcW w:w="1276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Private expenditure</w:t>
            </w:r>
          </w:p>
        </w:tc>
        <w:tc>
          <w:tcPr>
            <w:tcW w:w="851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15.84</w:t>
            </w:r>
          </w:p>
        </w:tc>
        <w:tc>
          <w:tcPr>
            <w:tcW w:w="851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11.09</w:t>
            </w:r>
          </w:p>
        </w:tc>
        <w:tc>
          <w:tcPr>
            <w:tcW w:w="709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0.19</w:t>
            </w:r>
          </w:p>
        </w:tc>
        <w:tc>
          <w:tcPr>
            <w:tcW w:w="991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34.56</w:t>
            </w:r>
          </w:p>
        </w:tc>
      </w:tr>
      <w:tr w:rsidR="006A1530" w:rsidRPr="006A1530" w:rsidTr="0091536B">
        <w:trPr>
          <w:trHeight w:val="283"/>
        </w:trPr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1530" w:rsidRPr="006A1530" w:rsidRDefault="006A1530" w:rsidP="006A1530">
            <w:pPr>
              <w:spacing w:after="0" w:line="240" w:lineRule="auto"/>
              <w:ind w:firstLine="142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 xml:space="preserve">Availability of cash benefits </w:t>
            </w:r>
          </w:p>
          <w:p w:rsidR="006A1530" w:rsidRPr="006A1530" w:rsidRDefault="006A1530" w:rsidP="006A1530">
            <w:pPr>
              <w:spacing w:after="0" w:line="276" w:lineRule="auto"/>
              <w:ind w:left="142" w:firstLine="142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(only in-kind, bound, unbound)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Cash benefit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1.08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0.81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0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2</w:t>
            </w:r>
          </w:p>
        </w:tc>
      </w:tr>
      <w:tr w:rsidR="006A1530" w:rsidRPr="006A1530" w:rsidTr="0091536B">
        <w:trPr>
          <w:trHeight w:val="283"/>
        </w:trPr>
        <w:tc>
          <w:tcPr>
            <w:tcW w:w="38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i/>
                <w:iCs/>
                <w:color w:val="000000"/>
                <w:sz w:val="20"/>
                <w:lang w:val="en-US"/>
              </w:rPr>
              <w:t>III: Access regulation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</w:p>
        </w:tc>
      </w:tr>
      <w:tr w:rsidR="006A1530" w:rsidRPr="006A1530" w:rsidTr="0091536B">
        <w:trPr>
          <w:trHeight w:val="283"/>
        </w:trPr>
        <w:tc>
          <w:tcPr>
            <w:tcW w:w="3828" w:type="dxa"/>
            <w:shd w:val="clear" w:color="auto" w:fill="auto"/>
            <w:vAlign w:val="center"/>
          </w:tcPr>
          <w:p w:rsidR="006A1530" w:rsidRPr="006A1530" w:rsidRDefault="006A1530" w:rsidP="006A1530">
            <w:pPr>
              <w:spacing w:after="0" w:line="240" w:lineRule="auto"/>
              <w:ind w:firstLine="142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Choice Index (Unlimited - Limited)</w:t>
            </w:r>
          </w:p>
        </w:tc>
        <w:tc>
          <w:tcPr>
            <w:tcW w:w="1276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Choice Restrictions</w:t>
            </w:r>
          </w:p>
        </w:tc>
        <w:tc>
          <w:tcPr>
            <w:tcW w:w="851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1.64</w:t>
            </w:r>
          </w:p>
        </w:tc>
        <w:tc>
          <w:tcPr>
            <w:tcW w:w="851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0.5</w:t>
            </w:r>
          </w:p>
        </w:tc>
        <w:tc>
          <w:tcPr>
            <w:tcW w:w="709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4</w:t>
            </w:r>
          </w:p>
        </w:tc>
      </w:tr>
      <w:tr w:rsidR="006A1530" w:rsidRPr="006A1530" w:rsidTr="0091536B">
        <w:trPr>
          <w:trHeight w:val="283"/>
        </w:trPr>
        <w:tc>
          <w:tcPr>
            <w:tcW w:w="3828" w:type="dxa"/>
            <w:shd w:val="clear" w:color="auto" w:fill="auto"/>
            <w:vAlign w:val="center"/>
          </w:tcPr>
          <w:p w:rsidR="006A1530" w:rsidRPr="006A1530" w:rsidRDefault="006A1530" w:rsidP="006A1530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Choice of home care provider</w:t>
            </w:r>
          </w:p>
        </w:tc>
        <w:tc>
          <w:tcPr>
            <w:tcW w:w="1276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Choice home care</w:t>
            </w:r>
          </w:p>
        </w:tc>
        <w:tc>
          <w:tcPr>
            <w:tcW w:w="851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0.4</w:t>
            </w:r>
          </w:p>
        </w:tc>
        <w:tc>
          <w:tcPr>
            <w:tcW w:w="851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0.49</w:t>
            </w:r>
          </w:p>
        </w:tc>
        <w:tc>
          <w:tcPr>
            <w:tcW w:w="709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1</w:t>
            </w:r>
          </w:p>
        </w:tc>
      </w:tr>
      <w:tr w:rsidR="006A1530" w:rsidRPr="006A1530" w:rsidTr="0091536B">
        <w:trPr>
          <w:trHeight w:val="283"/>
        </w:trPr>
        <w:tc>
          <w:tcPr>
            <w:tcW w:w="3828" w:type="dxa"/>
            <w:shd w:val="clear" w:color="auto" w:fill="auto"/>
            <w:vAlign w:val="center"/>
          </w:tcPr>
          <w:p w:rsidR="006A1530" w:rsidRPr="006A1530" w:rsidRDefault="006A1530" w:rsidP="006A1530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Choice of institutional care provider</w:t>
            </w:r>
          </w:p>
        </w:tc>
        <w:tc>
          <w:tcPr>
            <w:tcW w:w="1276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Choice institutional care</w:t>
            </w:r>
          </w:p>
        </w:tc>
        <w:tc>
          <w:tcPr>
            <w:tcW w:w="851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0.36</w:t>
            </w:r>
          </w:p>
        </w:tc>
        <w:tc>
          <w:tcPr>
            <w:tcW w:w="851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0.83</w:t>
            </w:r>
          </w:p>
        </w:tc>
        <w:tc>
          <w:tcPr>
            <w:tcW w:w="709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1</w:t>
            </w:r>
          </w:p>
        </w:tc>
      </w:tr>
      <w:tr w:rsidR="006A1530" w:rsidRPr="006A1530" w:rsidTr="0091536B">
        <w:trPr>
          <w:trHeight w:val="283"/>
        </w:trPr>
        <w:tc>
          <w:tcPr>
            <w:tcW w:w="3828" w:type="dxa"/>
            <w:shd w:val="clear" w:color="auto" w:fill="auto"/>
            <w:vAlign w:val="center"/>
          </w:tcPr>
          <w:p w:rsidR="006A1530" w:rsidRPr="006A1530" w:rsidRDefault="006A1530" w:rsidP="006A1530">
            <w:pPr>
              <w:spacing w:after="0" w:line="240" w:lineRule="auto"/>
              <w:ind w:firstLine="284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Choice between cash and in-kind benefits</w:t>
            </w:r>
          </w:p>
        </w:tc>
        <w:tc>
          <w:tcPr>
            <w:tcW w:w="1276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Choice cash</w:t>
            </w:r>
          </w:p>
        </w:tc>
        <w:tc>
          <w:tcPr>
            <w:tcW w:w="851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0.88</w:t>
            </w:r>
          </w:p>
        </w:tc>
        <w:tc>
          <w:tcPr>
            <w:tcW w:w="851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1.25</w:t>
            </w:r>
          </w:p>
        </w:tc>
        <w:tc>
          <w:tcPr>
            <w:tcW w:w="709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2</w:t>
            </w:r>
          </w:p>
        </w:tc>
      </w:tr>
      <w:tr w:rsidR="006A1530" w:rsidRPr="006A1530" w:rsidTr="0091536B">
        <w:trPr>
          <w:trHeight w:val="283"/>
        </w:trPr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1530" w:rsidRPr="006A1530" w:rsidRDefault="006A1530" w:rsidP="006A1530">
            <w:pPr>
              <w:spacing w:after="0" w:line="240" w:lineRule="auto"/>
              <w:ind w:firstLine="142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Means-testing for any benefit (No/Yes)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Means-testing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0.56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0.51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0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1</w:t>
            </w:r>
          </w:p>
        </w:tc>
      </w:tr>
      <w:tr w:rsidR="006A1530" w:rsidRPr="006A1530" w:rsidTr="0091536B">
        <w:trPr>
          <w:trHeight w:val="283"/>
        </w:trPr>
        <w:tc>
          <w:tcPr>
            <w:tcW w:w="38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i/>
                <w:iCs/>
                <w:color w:val="000000"/>
                <w:sz w:val="20"/>
                <w:lang w:val="en-US"/>
              </w:rPr>
              <w:t>IV: Performance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</w:p>
        </w:tc>
      </w:tr>
      <w:tr w:rsidR="006A1530" w:rsidRPr="006A1530" w:rsidTr="0091536B">
        <w:trPr>
          <w:trHeight w:val="283"/>
        </w:trPr>
        <w:tc>
          <w:tcPr>
            <w:tcW w:w="3828" w:type="dxa"/>
            <w:shd w:val="clear" w:color="auto" w:fill="auto"/>
            <w:vAlign w:val="center"/>
          </w:tcPr>
          <w:p w:rsidR="006A1530" w:rsidRPr="006A1530" w:rsidRDefault="006A1530" w:rsidP="006A1530">
            <w:pPr>
              <w:spacing w:after="0" w:line="276" w:lineRule="auto"/>
              <w:ind w:left="142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Life expectancy 65+</w:t>
            </w:r>
          </w:p>
        </w:tc>
        <w:tc>
          <w:tcPr>
            <w:tcW w:w="1276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Life expectancy</w:t>
            </w:r>
          </w:p>
        </w:tc>
        <w:tc>
          <w:tcPr>
            <w:tcW w:w="851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19.77</w:t>
            </w:r>
          </w:p>
        </w:tc>
        <w:tc>
          <w:tcPr>
            <w:tcW w:w="851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1.35</w:t>
            </w:r>
          </w:p>
        </w:tc>
        <w:tc>
          <w:tcPr>
            <w:tcW w:w="709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16.48</w:t>
            </w:r>
          </w:p>
        </w:tc>
        <w:tc>
          <w:tcPr>
            <w:tcW w:w="991" w:type="dxa"/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21.85</w:t>
            </w:r>
          </w:p>
        </w:tc>
      </w:tr>
      <w:tr w:rsidR="006A1530" w:rsidRPr="006A1530" w:rsidTr="0091536B">
        <w:trPr>
          <w:trHeight w:val="283"/>
        </w:trPr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1530" w:rsidRPr="006A1530" w:rsidRDefault="006A1530" w:rsidP="006A1530">
            <w:pPr>
              <w:spacing w:after="0" w:line="276" w:lineRule="auto"/>
              <w:ind w:left="142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 xml:space="preserve">Self-perceived health status (very) good, </w:t>
            </w:r>
          </w:p>
          <w:p w:rsidR="006A1530" w:rsidRPr="006A1530" w:rsidRDefault="006A1530" w:rsidP="006A1530">
            <w:pPr>
              <w:spacing w:after="0" w:line="276" w:lineRule="auto"/>
              <w:ind w:left="142" w:firstLine="142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% of the population 65+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Self-perceived health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46.11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21.83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8.6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vAlign w:val="center"/>
          </w:tcPr>
          <w:p w:rsidR="006A1530" w:rsidRPr="006A1530" w:rsidRDefault="006A1530" w:rsidP="006A153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</w:pPr>
            <w:r w:rsidRPr="006A1530">
              <w:rPr>
                <w:rFonts w:ascii="Times New Roman" w:eastAsia="Calibri" w:hAnsi="Times New Roman" w:cs="Times New Roman"/>
                <w:color w:val="000000"/>
                <w:sz w:val="20"/>
                <w:lang w:val="en-US"/>
              </w:rPr>
              <w:t>86.9</w:t>
            </w:r>
          </w:p>
        </w:tc>
      </w:tr>
    </w:tbl>
    <w:p w:rsidR="006A1530" w:rsidRPr="006A1530" w:rsidRDefault="006A1530" w:rsidP="006A1530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</w:pPr>
      <w:r w:rsidRPr="006A1530">
        <w:rPr>
          <w:rFonts w:ascii="Times New Roman" w:eastAsia="Calibri" w:hAnsi="Times New Roman" w:cs="Times New Roman"/>
          <w:color w:val="000000"/>
          <w:sz w:val="20"/>
          <w:szCs w:val="20"/>
          <w:vertAlign w:val="superscript"/>
          <w:lang w:val="en-US"/>
        </w:rPr>
        <w:t>1</w:t>
      </w:r>
      <w:r w:rsidRPr="006A1530"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  <w:t>Sources: OECD health data (extracted on 2018-12-10), MISSOC 2018 (European Observatory on Health Systems and Policies 2018), European Commission 2018; own coding scheme.</w:t>
      </w:r>
    </w:p>
    <w:p w:rsidR="00BF7C8B" w:rsidRPr="006A1530" w:rsidRDefault="00BF7C8B">
      <w:pPr>
        <w:rPr>
          <w:lang w:val="en-US"/>
        </w:rPr>
      </w:pPr>
      <w:bookmarkStart w:id="0" w:name="_GoBack"/>
      <w:bookmarkEnd w:id="0"/>
    </w:p>
    <w:sectPr w:rsidR="00BF7C8B" w:rsidRPr="006A15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530"/>
    <w:rsid w:val="002F5109"/>
    <w:rsid w:val="006A1530"/>
    <w:rsid w:val="00B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E8BBD-05FC-4178-AF1D-DD46AB03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Ariaans</dc:creator>
  <cp:keywords/>
  <dc:description/>
  <cp:lastModifiedBy>Mareike Ariaans</cp:lastModifiedBy>
  <cp:revision>1</cp:revision>
  <dcterms:created xsi:type="dcterms:W3CDTF">2020-09-16T07:25:00Z</dcterms:created>
  <dcterms:modified xsi:type="dcterms:W3CDTF">2020-09-16T07:26:00Z</dcterms:modified>
</cp:coreProperties>
</file>