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4F7" w:rsidRPr="00D70DF6" w:rsidRDefault="000604F7" w:rsidP="000604F7">
      <w:pPr>
        <w:pStyle w:val="berschrift1"/>
        <w:rPr>
          <w:lang w:val="en-US"/>
        </w:rPr>
      </w:pPr>
      <w:r w:rsidRPr="00D70DF6">
        <w:rPr>
          <w:lang w:val="en-US"/>
        </w:rPr>
        <w:t>Reibling et al. 2019 – Worlds of healthcare: A healthcare system typology of OECD Countries</w:t>
      </w:r>
    </w:p>
    <w:p w:rsidR="000604F7" w:rsidRPr="00D70DF6" w:rsidRDefault="000604F7" w:rsidP="000604F7">
      <w:pPr>
        <w:pStyle w:val="berschrift2"/>
        <w:rPr>
          <w:lang w:val="en-US"/>
        </w:rPr>
      </w:pPr>
      <w:r w:rsidRPr="00D70DF6">
        <w:rPr>
          <w:lang w:val="en-US"/>
        </w:rPr>
        <w:t>Abstract</w:t>
      </w:r>
    </w:p>
    <w:p w:rsidR="000604F7" w:rsidRPr="00D70DF6" w:rsidRDefault="000604F7" w:rsidP="00433845">
      <w:pPr>
        <w:spacing w:line="360" w:lineRule="auto"/>
        <w:jc w:val="both"/>
        <w:rPr>
          <w:lang w:val="en-US"/>
        </w:rPr>
      </w:pPr>
      <w:r w:rsidRPr="00D70DF6">
        <w:rPr>
          <w:lang w:val="en-US"/>
        </w:rPr>
        <w:t xml:space="preserve">In this paper, we present an </w:t>
      </w:r>
      <w:r w:rsidRPr="00D70DF6">
        <w:rPr>
          <w:highlight w:val="green"/>
          <w:lang w:val="en-US"/>
        </w:rPr>
        <w:t>extended typology of OECD healthcare systems</w:t>
      </w:r>
      <w:r w:rsidRPr="00D70DF6">
        <w:rPr>
          <w:lang w:val="en-US"/>
        </w:rPr>
        <w:t>.</w:t>
      </w:r>
      <w:r w:rsidR="00433845" w:rsidRPr="00D70DF6">
        <w:rPr>
          <w:lang w:val="en-US"/>
        </w:rPr>
        <w:t xml:space="preserve"> </w:t>
      </w:r>
      <w:r w:rsidRPr="00D70DF6">
        <w:rPr>
          <w:lang w:val="en-US"/>
        </w:rPr>
        <w:t xml:space="preserve">Our theoretical framework integrates the </w:t>
      </w:r>
      <w:r w:rsidRPr="00D70DF6">
        <w:rPr>
          <w:highlight w:val="green"/>
          <w:lang w:val="en-US"/>
        </w:rPr>
        <w:t>comparative-institutional perspective</w:t>
      </w:r>
      <w:r w:rsidRPr="00D70DF6">
        <w:rPr>
          <w:lang w:val="en-US"/>
        </w:rPr>
        <w:t xml:space="preserve"> of </w:t>
      </w:r>
      <w:r w:rsidRPr="00D70DF6">
        <w:rPr>
          <w:highlight w:val="green"/>
          <w:lang w:val="en-US"/>
        </w:rPr>
        <w:t>existing classifications with current ideas from the international health policy research debate</w:t>
      </w:r>
      <w:r w:rsidRPr="00D70DF6">
        <w:rPr>
          <w:lang w:val="en-US"/>
        </w:rPr>
        <w:t>.</w:t>
      </w:r>
      <w:r w:rsidR="00433845" w:rsidRPr="00D70DF6">
        <w:rPr>
          <w:lang w:val="en-US"/>
        </w:rPr>
        <w:t xml:space="preserve"> </w:t>
      </w:r>
      <w:r w:rsidRPr="00D70DF6">
        <w:rPr>
          <w:lang w:val="en-US"/>
        </w:rPr>
        <w:t>We</w:t>
      </w:r>
      <w:r w:rsidR="00433845" w:rsidRPr="00D70DF6">
        <w:rPr>
          <w:lang w:val="en-US"/>
        </w:rPr>
        <w:t xml:space="preserve"> </w:t>
      </w:r>
      <w:r w:rsidRPr="00D70DF6">
        <w:rPr>
          <w:lang w:val="en-US"/>
        </w:rPr>
        <w:t xml:space="preserve">argue that combining these two perspectives provides a </w:t>
      </w:r>
      <w:r w:rsidRPr="00D70DF6">
        <w:rPr>
          <w:highlight w:val="green"/>
          <w:lang w:val="en-US"/>
        </w:rPr>
        <w:t>more comprehensive picture of</w:t>
      </w:r>
      <w:r w:rsidR="00433845" w:rsidRPr="00D70DF6">
        <w:rPr>
          <w:highlight w:val="green"/>
          <w:lang w:val="en-US"/>
        </w:rPr>
        <w:t xml:space="preserve"> </w:t>
      </w:r>
      <w:r w:rsidRPr="00D70DF6">
        <w:rPr>
          <w:highlight w:val="green"/>
          <w:lang w:val="en-US"/>
        </w:rPr>
        <w:t>modern healthcare systems</w:t>
      </w:r>
      <w:r w:rsidRPr="00D70DF6">
        <w:rPr>
          <w:lang w:val="en-US"/>
        </w:rPr>
        <w:t xml:space="preserve"> and takes the past decade’s dynamic of reforms into account.</w:t>
      </w:r>
      <w:r w:rsidR="00433845" w:rsidRPr="00D70DF6">
        <w:rPr>
          <w:lang w:val="en-US"/>
        </w:rPr>
        <w:t xml:space="preserve"> </w:t>
      </w:r>
      <w:r w:rsidRPr="00D70DF6">
        <w:rPr>
          <w:lang w:val="en-US"/>
        </w:rPr>
        <w:t xml:space="preserve">Moreover, this approach makes the </w:t>
      </w:r>
      <w:r w:rsidRPr="00D70DF6">
        <w:rPr>
          <w:highlight w:val="green"/>
          <w:lang w:val="en-US"/>
        </w:rPr>
        <w:t>typology more beneficial</w:t>
      </w:r>
      <w:r w:rsidRPr="00D70DF6">
        <w:rPr>
          <w:lang w:val="en-US"/>
        </w:rPr>
        <w:t xml:space="preserve"> in terms of </w:t>
      </w:r>
      <w:r w:rsidRPr="00D70DF6">
        <w:rPr>
          <w:highlight w:val="green"/>
          <w:lang w:val="en-US"/>
        </w:rPr>
        <w:t>understanding</w:t>
      </w:r>
      <w:r w:rsidR="00433845" w:rsidRPr="00D70DF6">
        <w:rPr>
          <w:highlight w:val="green"/>
          <w:lang w:val="en-US"/>
        </w:rPr>
        <w:t xml:space="preserve"> </w:t>
      </w:r>
      <w:r w:rsidRPr="00D70DF6">
        <w:rPr>
          <w:highlight w:val="green"/>
          <w:lang w:val="en-US"/>
        </w:rPr>
        <w:t>and explaining cross-national variation</w:t>
      </w:r>
      <w:r w:rsidRPr="00D70DF6">
        <w:rPr>
          <w:lang w:val="en-US"/>
        </w:rPr>
        <w:t xml:space="preserve"> in population health and health inequalities. Empirically,</w:t>
      </w:r>
      <w:r w:rsidR="00433845" w:rsidRPr="00D70DF6">
        <w:rPr>
          <w:lang w:val="en-US"/>
        </w:rPr>
        <w:t xml:space="preserve"> </w:t>
      </w:r>
      <w:r w:rsidRPr="00D70DF6">
        <w:rPr>
          <w:lang w:val="en-US"/>
        </w:rPr>
        <w:t xml:space="preserve">we </w:t>
      </w:r>
      <w:r w:rsidRPr="00D70DF6">
        <w:rPr>
          <w:highlight w:val="green"/>
          <w:lang w:val="en-US"/>
        </w:rPr>
        <w:t>combine indicators on supply, public-private mix, and institutional access</w:t>
      </w:r>
      <w:r w:rsidR="00433845" w:rsidRPr="00D70DF6">
        <w:rPr>
          <w:highlight w:val="green"/>
          <w:lang w:val="en-US"/>
        </w:rPr>
        <w:t xml:space="preserve"> </w:t>
      </w:r>
      <w:r w:rsidRPr="00D70DF6">
        <w:rPr>
          <w:highlight w:val="green"/>
          <w:lang w:val="en-US"/>
        </w:rPr>
        <w:t>regulations</w:t>
      </w:r>
      <w:r w:rsidRPr="00D70DF6">
        <w:rPr>
          <w:lang w:val="en-US"/>
        </w:rPr>
        <w:t xml:space="preserve"> from earlier typologies with </w:t>
      </w:r>
      <w:r w:rsidRPr="00D70DF6">
        <w:rPr>
          <w:highlight w:val="green"/>
          <w:lang w:val="en-US"/>
        </w:rPr>
        <w:t>information on primary care orientation and performance</w:t>
      </w:r>
      <w:r w:rsidR="00433845" w:rsidRPr="00D70DF6">
        <w:rPr>
          <w:highlight w:val="green"/>
          <w:lang w:val="en-US"/>
        </w:rPr>
        <w:t xml:space="preserve"> </w:t>
      </w:r>
      <w:r w:rsidRPr="00D70DF6">
        <w:rPr>
          <w:highlight w:val="green"/>
          <w:lang w:val="en-US"/>
        </w:rPr>
        <w:t>management in prevention and quality of care</w:t>
      </w:r>
      <w:r w:rsidRPr="00D70DF6">
        <w:rPr>
          <w:lang w:val="en-US"/>
        </w:rPr>
        <w:t>. The results from a series of</w:t>
      </w:r>
      <w:r w:rsidR="00433845" w:rsidRPr="00D70DF6">
        <w:rPr>
          <w:lang w:val="en-US"/>
        </w:rPr>
        <w:t xml:space="preserve"> </w:t>
      </w:r>
      <w:r w:rsidRPr="00D70DF6">
        <w:rPr>
          <w:lang w:val="en-US"/>
        </w:rPr>
        <w:t xml:space="preserve">cluster analyses indicate that at </w:t>
      </w:r>
      <w:r w:rsidRPr="00D70DF6">
        <w:rPr>
          <w:highlight w:val="green"/>
          <w:lang w:val="en-US"/>
        </w:rPr>
        <w:t>least five distinct types</w:t>
      </w:r>
      <w:r w:rsidRPr="00D70DF6">
        <w:rPr>
          <w:lang w:val="en-US"/>
        </w:rPr>
        <w:t xml:space="preserve"> of healthcare systems can be identified.</w:t>
      </w:r>
      <w:r w:rsidR="00433845" w:rsidRPr="00D70DF6">
        <w:rPr>
          <w:lang w:val="en-US"/>
        </w:rPr>
        <w:t xml:space="preserve"> </w:t>
      </w:r>
      <w:r w:rsidRPr="00D70DF6">
        <w:rPr>
          <w:lang w:val="en-US"/>
        </w:rPr>
        <w:t>Moreover, we provide quantitative information on the consistency of cluster membership</w:t>
      </w:r>
      <w:r w:rsidR="00433845" w:rsidRPr="00D70DF6">
        <w:rPr>
          <w:lang w:val="en-US"/>
        </w:rPr>
        <w:t xml:space="preserve"> </w:t>
      </w:r>
      <w:r w:rsidRPr="00D70DF6">
        <w:rPr>
          <w:lang w:val="en-US"/>
        </w:rPr>
        <w:t>for individual countries via system types</w:t>
      </w:r>
      <w:r w:rsidR="00433845" w:rsidRPr="00D70DF6">
        <w:rPr>
          <w:lang w:val="en-US"/>
        </w:rPr>
        <w:t>.</w:t>
      </w:r>
    </w:p>
    <w:p w:rsidR="000604F7" w:rsidRPr="00D70DF6" w:rsidRDefault="000604F7" w:rsidP="000604F7">
      <w:pPr>
        <w:pStyle w:val="berschrift2"/>
        <w:rPr>
          <w:lang w:val="en-US"/>
        </w:rPr>
      </w:pPr>
      <w:r w:rsidRPr="00D70DF6">
        <w:rPr>
          <w:lang w:val="en-US"/>
        </w:rPr>
        <w:t>Introduction</w:t>
      </w:r>
    </w:p>
    <w:p w:rsidR="00EF4F9C" w:rsidRPr="00EC3374" w:rsidRDefault="000604F7" w:rsidP="000604F7">
      <w:pPr>
        <w:pStyle w:val="05Aufzhlung"/>
        <w:rPr>
          <w:lang w:val="en-US"/>
        </w:rPr>
      </w:pPr>
      <w:r w:rsidRPr="00EC3374">
        <w:rPr>
          <w:lang w:val="en-US"/>
        </w:rPr>
        <w:t xml:space="preserve">Empirically, we develop an extended typology of OECD healthcare systems by combining indicators from the comparative-institutional perspective on </w:t>
      </w:r>
      <w:r w:rsidRPr="00EC3374">
        <w:rPr>
          <w:u w:val="single"/>
          <w:lang w:val="en-US"/>
        </w:rPr>
        <w:t>supply, public-private mix</w:t>
      </w:r>
      <w:r w:rsidRPr="00EC3374">
        <w:rPr>
          <w:lang w:val="en-US"/>
        </w:rPr>
        <w:t xml:space="preserve">, and </w:t>
      </w:r>
      <w:r w:rsidRPr="00EC3374">
        <w:rPr>
          <w:u w:val="single"/>
          <w:lang w:val="en-US"/>
        </w:rPr>
        <w:t>institutional access regulations</w:t>
      </w:r>
      <w:r w:rsidRPr="00EC3374">
        <w:rPr>
          <w:lang w:val="en-US"/>
        </w:rPr>
        <w:t xml:space="preserve"> with measures on </w:t>
      </w:r>
      <w:r w:rsidRPr="00EC3374">
        <w:rPr>
          <w:u w:val="single"/>
          <w:lang w:val="en-US"/>
        </w:rPr>
        <w:t>primary care orientation</w:t>
      </w:r>
      <w:r w:rsidRPr="00EC3374">
        <w:rPr>
          <w:lang w:val="en-US"/>
        </w:rPr>
        <w:t xml:space="preserve"> and </w:t>
      </w:r>
      <w:r w:rsidRPr="00EC3374">
        <w:rPr>
          <w:u w:val="single"/>
          <w:lang w:val="en-US"/>
        </w:rPr>
        <w:t>performance</w:t>
      </w:r>
      <w:r w:rsidRPr="00EC3374">
        <w:rPr>
          <w:lang w:val="en-US"/>
        </w:rPr>
        <w:t xml:space="preserve"> in both </w:t>
      </w:r>
      <w:r w:rsidRPr="00EC3374">
        <w:rPr>
          <w:u w:val="single"/>
          <w:lang w:val="en-US"/>
        </w:rPr>
        <w:t>prevention</w:t>
      </w:r>
      <w:r w:rsidRPr="00EC3374">
        <w:rPr>
          <w:lang w:val="en-US"/>
        </w:rPr>
        <w:t xml:space="preserve"> and </w:t>
      </w:r>
      <w:r w:rsidRPr="00EC3374">
        <w:rPr>
          <w:u w:val="single"/>
          <w:lang w:val="en-US"/>
        </w:rPr>
        <w:t>quality of care</w:t>
      </w:r>
      <w:r w:rsidRPr="00EC3374">
        <w:rPr>
          <w:lang w:val="en-US"/>
        </w:rPr>
        <w:t xml:space="preserve">. The results of our cluster analyses indicate that at least </w:t>
      </w:r>
      <w:r w:rsidRPr="00EC3374">
        <w:rPr>
          <w:u w:val="single"/>
          <w:lang w:val="en-US"/>
        </w:rPr>
        <w:t>five</w:t>
      </w:r>
      <w:r w:rsidRPr="00EC3374">
        <w:rPr>
          <w:lang w:val="en-US"/>
        </w:rPr>
        <w:t xml:space="preserve"> distinct types of healthcare systems can be identified.</w:t>
      </w:r>
    </w:p>
    <w:p w:rsidR="007D0FC8" w:rsidRPr="006E6B38" w:rsidRDefault="00625732" w:rsidP="00625732">
      <w:pPr>
        <w:pStyle w:val="05Aufzhlung"/>
        <w:rPr>
          <w:b/>
          <w:bCs/>
          <w:lang w:val="en-US"/>
        </w:rPr>
      </w:pPr>
      <w:r w:rsidRPr="00D70DF6">
        <w:rPr>
          <w:lang w:val="en-US"/>
        </w:rPr>
        <w:t xml:space="preserve">Central aim of study: </w:t>
      </w:r>
      <w:r w:rsidRPr="006E6B38">
        <w:rPr>
          <w:b/>
          <w:bCs/>
          <w:lang w:val="en-US"/>
        </w:rPr>
        <w:t xml:space="preserve">We construct types of healthcare systems </w:t>
      </w:r>
      <w:proofErr w:type="gramStart"/>
      <w:r w:rsidRPr="006E6B38">
        <w:rPr>
          <w:b/>
          <w:bCs/>
          <w:lang w:val="en-US"/>
        </w:rPr>
        <w:t>on the basis of</w:t>
      </w:r>
      <w:proofErr w:type="gramEnd"/>
      <w:r w:rsidRPr="006E6B38">
        <w:rPr>
          <w:b/>
          <w:bCs/>
          <w:lang w:val="en-US"/>
        </w:rPr>
        <w:t xml:space="preserve"> a theory-guided preselection of relevant indicators</w:t>
      </w:r>
    </w:p>
    <w:p w:rsidR="000605C9" w:rsidRPr="00D70DF6" w:rsidRDefault="000605C9" w:rsidP="00625732">
      <w:pPr>
        <w:pStyle w:val="05Aufzhlung"/>
        <w:rPr>
          <w:lang w:val="en-US"/>
        </w:rPr>
      </w:pPr>
      <w:r w:rsidRPr="00D70DF6">
        <w:rPr>
          <w:lang w:val="en-US"/>
        </w:rPr>
        <w:t>These types are constructed based on real-type indicators, namely OECD healthcare systems</w:t>
      </w:r>
    </w:p>
    <w:p w:rsidR="000605C9" w:rsidRPr="00D70DF6" w:rsidRDefault="000605C9" w:rsidP="000605C9">
      <w:pPr>
        <w:pStyle w:val="05Aufzhlung"/>
        <w:numPr>
          <w:ilvl w:val="1"/>
          <w:numId w:val="3"/>
        </w:numPr>
        <w:rPr>
          <w:lang w:val="en-US"/>
        </w:rPr>
      </w:pPr>
      <w:r w:rsidRPr="00D70DF6">
        <w:rPr>
          <w:lang w:val="en-US"/>
        </w:rPr>
        <w:t>However, they are not real-types or represent the extreme</w:t>
      </w:r>
    </w:p>
    <w:p w:rsidR="000605C9" w:rsidRPr="00D70DF6" w:rsidRDefault="000605C9" w:rsidP="000605C9">
      <w:pPr>
        <w:pStyle w:val="05Aufzhlung"/>
        <w:numPr>
          <w:ilvl w:val="1"/>
          <w:numId w:val="3"/>
        </w:numPr>
        <w:rPr>
          <w:lang w:val="en-US"/>
        </w:rPr>
      </w:pPr>
      <w:r w:rsidRPr="00D70DF6">
        <w:rPr>
          <w:lang w:val="en-US"/>
        </w:rPr>
        <w:lastRenderedPageBreak/>
        <w:t xml:space="preserve">They represent the </w:t>
      </w:r>
      <w:r w:rsidRPr="00D70DF6">
        <w:rPr>
          <w:b/>
          <w:lang w:val="en-US"/>
        </w:rPr>
        <w:t>average country clustered</w:t>
      </w:r>
      <w:r w:rsidRPr="00D70DF6">
        <w:rPr>
          <w:lang w:val="en-US"/>
        </w:rPr>
        <w:t xml:space="preserve"> in its respective type</w:t>
      </w:r>
    </w:p>
    <w:p w:rsidR="000605C9" w:rsidRPr="00D70DF6" w:rsidRDefault="000605C9" w:rsidP="000605C9">
      <w:pPr>
        <w:pStyle w:val="05Aufzhlung"/>
        <w:numPr>
          <w:ilvl w:val="2"/>
          <w:numId w:val="3"/>
        </w:numPr>
        <w:rPr>
          <w:lang w:val="en-US"/>
        </w:rPr>
      </w:pPr>
      <w:r w:rsidRPr="00D70DF6">
        <w:rPr>
          <w:lang w:val="en-US"/>
        </w:rPr>
        <w:t xml:space="preserve">At the same </w:t>
      </w:r>
      <w:proofErr w:type="gramStart"/>
      <w:r w:rsidRPr="00D70DF6">
        <w:rPr>
          <w:lang w:val="en-US"/>
        </w:rPr>
        <w:t>time</w:t>
      </w:r>
      <w:proofErr w:type="gramEnd"/>
      <w:r w:rsidRPr="00D70DF6">
        <w:rPr>
          <w:lang w:val="en-US"/>
        </w:rPr>
        <w:t xml:space="preserve"> they can be clearly distinguished from each other</w:t>
      </w:r>
    </w:p>
    <w:p w:rsidR="000605C9" w:rsidRPr="00D70DF6" w:rsidRDefault="000605C9" w:rsidP="000605C9">
      <w:pPr>
        <w:pStyle w:val="05Aufzhlung"/>
        <w:numPr>
          <w:ilvl w:val="2"/>
          <w:numId w:val="3"/>
        </w:numPr>
        <w:rPr>
          <w:lang w:val="en-US"/>
        </w:rPr>
      </w:pPr>
      <w:r w:rsidRPr="00D70DF6">
        <w:rPr>
          <w:lang w:val="en-US"/>
        </w:rPr>
        <w:t>And be used to classify and compare existing healthcare systems (real cases)</w:t>
      </w:r>
    </w:p>
    <w:p w:rsidR="007C285D" w:rsidRPr="00D70DF6" w:rsidRDefault="0007359D" w:rsidP="0007359D">
      <w:pPr>
        <w:pStyle w:val="berschrift2"/>
        <w:rPr>
          <w:lang w:val="en-US"/>
        </w:rPr>
      </w:pPr>
      <w:r w:rsidRPr="00D70DF6">
        <w:rPr>
          <w:lang w:val="en-US"/>
        </w:rPr>
        <w:t>Evolution of healthcare system typologies</w:t>
      </w:r>
    </w:p>
    <w:p w:rsidR="0007359D" w:rsidRPr="00D70DF6" w:rsidRDefault="0007359D" w:rsidP="0007359D">
      <w:pPr>
        <w:pStyle w:val="05Aufzhlungnummeriert"/>
        <w:rPr>
          <w:lang w:val="en-US"/>
        </w:rPr>
      </w:pPr>
      <w:r w:rsidRPr="00D70DF6">
        <w:rPr>
          <w:lang w:val="en-US"/>
        </w:rPr>
        <w:t xml:space="preserve">1. Field (1970) – Ownership and </w:t>
      </w:r>
      <w:r w:rsidR="00462285" w:rsidRPr="00D70DF6">
        <w:rPr>
          <w:lang w:val="en-US"/>
        </w:rPr>
        <w:t>doctors’</w:t>
      </w:r>
      <w:r w:rsidRPr="00D70DF6">
        <w:rPr>
          <w:lang w:val="en-US"/>
        </w:rPr>
        <w:t xml:space="preserve"> autonomy</w:t>
      </w:r>
    </w:p>
    <w:tbl>
      <w:tblPr>
        <w:tblStyle w:val="MittlereSchattierung11"/>
        <w:tblW w:w="0" w:type="auto"/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07359D" w:rsidRPr="00D70DF6" w:rsidTr="006E6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b w:val="0"/>
                <w:lang w:val="en-US"/>
              </w:rPr>
            </w:pPr>
            <w:r w:rsidRPr="00D70DF6">
              <w:rPr>
                <w:lang w:val="en-US"/>
              </w:rPr>
              <w:t>Type</w:t>
            </w:r>
          </w:p>
        </w:tc>
        <w:tc>
          <w:tcPr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70DF6">
              <w:rPr>
                <w:lang w:val="en-US"/>
              </w:rPr>
              <w:t>Ownership</w:t>
            </w:r>
          </w:p>
        </w:tc>
        <w:tc>
          <w:tcPr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70DF6">
              <w:rPr>
                <w:lang w:val="en-US"/>
              </w:rPr>
              <w:t>Doctors autonomy</w:t>
            </w:r>
          </w:p>
        </w:tc>
      </w:tr>
      <w:tr w:rsidR="0007359D" w:rsidRPr="00D70DF6" w:rsidTr="006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Pluralist</w:t>
            </w:r>
          </w:p>
        </w:tc>
        <w:tc>
          <w:tcPr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Private provision</w:t>
            </w:r>
          </w:p>
        </w:tc>
        <w:tc>
          <w:tcPr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High</w:t>
            </w:r>
          </w:p>
        </w:tc>
      </w:tr>
      <w:tr w:rsidR="0007359D" w:rsidRPr="00D70DF6" w:rsidTr="006E6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Health insurance</w:t>
            </w:r>
          </w:p>
        </w:tc>
        <w:tc>
          <w:tcPr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Social insurance actors</w:t>
            </w:r>
          </w:p>
        </w:tc>
        <w:tc>
          <w:tcPr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High</w:t>
            </w:r>
          </w:p>
        </w:tc>
      </w:tr>
      <w:tr w:rsidR="0007359D" w:rsidRPr="00D70DF6" w:rsidTr="006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Health service</w:t>
            </w:r>
          </w:p>
        </w:tc>
        <w:tc>
          <w:tcPr>
            <w:tcW w:w="2856" w:type="dxa"/>
          </w:tcPr>
          <w:p w:rsidR="0007359D" w:rsidRPr="00D70DF6" w:rsidRDefault="000779F7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 xml:space="preserve">Mostly by </w:t>
            </w:r>
            <w:r w:rsidR="0007359D" w:rsidRPr="00D70DF6">
              <w:rPr>
                <w:lang w:val="en-US"/>
              </w:rPr>
              <w:t>State</w:t>
            </w:r>
          </w:p>
        </w:tc>
        <w:tc>
          <w:tcPr>
            <w:tcW w:w="2856" w:type="dxa"/>
          </w:tcPr>
          <w:p w:rsidR="0007359D" w:rsidRPr="00D70DF6" w:rsidRDefault="0007359D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High</w:t>
            </w:r>
          </w:p>
        </w:tc>
      </w:tr>
      <w:tr w:rsidR="0007359D" w:rsidRPr="00D70DF6" w:rsidTr="006E6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07359D" w:rsidRPr="00D70DF6" w:rsidRDefault="0007359D" w:rsidP="0007359D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Socialized health</w:t>
            </w:r>
          </w:p>
        </w:tc>
        <w:tc>
          <w:tcPr>
            <w:tcW w:w="2856" w:type="dxa"/>
          </w:tcPr>
          <w:p w:rsidR="0007359D" w:rsidRPr="00D70DF6" w:rsidRDefault="000779F7" w:rsidP="0007359D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Completely by State</w:t>
            </w:r>
          </w:p>
        </w:tc>
        <w:tc>
          <w:tcPr>
            <w:tcW w:w="2856" w:type="dxa"/>
          </w:tcPr>
          <w:p w:rsidR="0007359D" w:rsidRPr="00D70DF6" w:rsidRDefault="0007359D" w:rsidP="0007359D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7359D" w:rsidRPr="00D70DF6" w:rsidRDefault="0007359D" w:rsidP="0007359D">
      <w:pPr>
        <w:pStyle w:val="05Aufzhlungnummeriert"/>
        <w:rPr>
          <w:lang w:val="en-US"/>
        </w:rPr>
      </w:pPr>
    </w:p>
    <w:p w:rsidR="000779F7" w:rsidRPr="00D70DF6" w:rsidRDefault="000779F7" w:rsidP="0007359D">
      <w:pPr>
        <w:pStyle w:val="05Aufzhlungnummeriert"/>
        <w:rPr>
          <w:lang w:val="en-US"/>
        </w:rPr>
      </w:pPr>
      <w:r w:rsidRPr="00D70DF6">
        <w:rPr>
          <w:lang w:val="en-US"/>
        </w:rPr>
        <w:t xml:space="preserve">2. </w:t>
      </w:r>
      <w:proofErr w:type="spellStart"/>
      <w:r w:rsidRPr="00D70DF6">
        <w:rPr>
          <w:lang w:val="en-US"/>
        </w:rPr>
        <w:t>Schieber</w:t>
      </w:r>
      <w:proofErr w:type="spellEnd"/>
      <w:r w:rsidRPr="00D70DF6">
        <w:rPr>
          <w:lang w:val="en-US"/>
        </w:rPr>
        <w:t xml:space="preserve">/OECD (1987) – Coverage, funding and </w:t>
      </w:r>
      <w:proofErr w:type="spellStart"/>
      <w:r w:rsidRPr="00D70DF6">
        <w:rPr>
          <w:lang w:val="en-US"/>
        </w:rPr>
        <w:t>owvership</w:t>
      </w:r>
      <w:proofErr w:type="spellEnd"/>
    </w:p>
    <w:tbl>
      <w:tblPr>
        <w:tblStyle w:val="MittlereSchattierung11"/>
        <w:tblW w:w="0" w:type="auto"/>
        <w:tblLook w:val="04A0" w:firstRow="1" w:lastRow="0" w:firstColumn="1" w:lastColumn="0" w:noHBand="0" w:noVBand="1"/>
      </w:tblPr>
      <w:tblGrid>
        <w:gridCol w:w="2386"/>
        <w:gridCol w:w="2420"/>
        <w:gridCol w:w="2382"/>
        <w:gridCol w:w="2100"/>
      </w:tblGrid>
      <w:tr w:rsidR="000779F7" w:rsidRPr="00D70DF6" w:rsidTr="006E6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0779F7" w:rsidRPr="00D70DF6" w:rsidRDefault="000779F7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b w:val="0"/>
                <w:lang w:val="en-US"/>
              </w:rPr>
            </w:pPr>
            <w:bookmarkStart w:id="0" w:name="_Hlk11597053"/>
            <w:r w:rsidRPr="00D70DF6">
              <w:rPr>
                <w:lang w:val="en-US"/>
              </w:rPr>
              <w:t>Type</w:t>
            </w:r>
          </w:p>
        </w:tc>
        <w:tc>
          <w:tcPr>
            <w:tcW w:w="2420" w:type="dxa"/>
          </w:tcPr>
          <w:p w:rsidR="000779F7" w:rsidRPr="00D70DF6" w:rsidRDefault="000779F7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70DF6">
              <w:rPr>
                <w:lang w:val="en-US"/>
              </w:rPr>
              <w:t>Coverage</w:t>
            </w:r>
          </w:p>
        </w:tc>
        <w:tc>
          <w:tcPr>
            <w:tcW w:w="2382" w:type="dxa"/>
          </w:tcPr>
          <w:p w:rsidR="000779F7" w:rsidRPr="00D70DF6" w:rsidRDefault="000779F7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70DF6">
              <w:rPr>
                <w:lang w:val="en-US"/>
              </w:rPr>
              <w:t>Funding</w:t>
            </w:r>
          </w:p>
        </w:tc>
        <w:tc>
          <w:tcPr>
            <w:tcW w:w="2100" w:type="dxa"/>
          </w:tcPr>
          <w:p w:rsidR="000779F7" w:rsidRPr="00D70DF6" w:rsidRDefault="000779F7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70DF6">
              <w:rPr>
                <w:lang w:val="en-US"/>
              </w:rPr>
              <w:t>Ownership</w:t>
            </w:r>
          </w:p>
        </w:tc>
      </w:tr>
      <w:tr w:rsidR="000779F7" w:rsidRPr="00D70DF6" w:rsidTr="006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National health service model</w:t>
            </w:r>
          </w:p>
        </w:tc>
        <w:tc>
          <w:tcPr>
            <w:tcW w:w="2420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Universal</w:t>
            </w:r>
          </w:p>
        </w:tc>
        <w:tc>
          <w:tcPr>
            <w:tcW w:w="2382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Tax financing</w:t>
            </w:r>
          </w:p>
        </w:tc>
        <w:tc>
          <w:tcPr>
            <w:tcW w:w="2100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Public</w:t>
            </w:r>
          </w:p>
        </w:tc>
      </w:tr>
      <w:tr w:rsidR="000779F7" w:rsidRPr="00D70DF6" w:rsidTr="006E6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Social insurance model</w:t>
            </w:r>
          </w:p>
        </w:tc>
        <w:tc>
          <w:tcPr>
            <w:tcW w:w="2420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Universal</w:t>
            </w:r>
          </w:p>
        </w:tc>
        <w:tc>
          <w:tcPr>
            <w:tcW w:w="2382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Social insurance financing</w:t>
            </w:r>
          </w:p>
        </w:tc>
        <w:tc>
          <w:tcPr>
            <w:tcW w:w="2100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Public and Private</w:t>
            </w:r>
          </w:p>
        </w:tc>
      </w:tr>
      <w:tr w:rsidR="000779F7" w:rsidRPr="00D70DF6" w:rsidTr="006E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Private</w:t>
            </w:r>
          </w:p>
        </w:tc>
        <w:tc>
          <w:tcPr>
            <w:tcW w:w="2420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Private insurance</w:t>
            </w:r>
          </w:p>
        </w:tc>
        <w:tc>
          <w:tcPr>
            <w:tcW w:w="2382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Private financing</w:t>
            </w:r>
          </w:p>
        </w:tc>
        <w:tc>
          <w:tcPr>
            <w:tcW w:w="2100" w:type="dxa"/>
          </w:tcPr>
          <w:p w:rsidR="000779F7" w:rsidRPr="00D70DF6" w:rsidRDefault="00462285" w:rsidP="00F578A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Private</w:t>
            </w:r>
          </w:p>
        </w:tc>
      </w:tr>
    </w:tbl>
    <w:bookmarkEnd w:id="0"/>
    <w:p w:rsidR="000779F7" w:rsidRPr="00D70DF6" w:rsidRDefault="00462285" w:rsidP="0007359D">
      <w:pPr>
        <w:pStyle w:val="05Aufzhlungnummeriert"/>
        <w:rPr>
          <w:lang w:val="en-US"/>
        </w:rPr>
      </w:pPr>
      <w:r w:rsidRPr="00D70DF6">
        <w:rPr>
          <w:lang w:val="en-US"/>
        </w:rPr>
        <w:t xml:space="preserve">3a. </w:t>
      </w:r>
      <w:proofErr w:type="spellStart"/>
      <w:r w:rsidRPr="00D70DF6">
        <w:rPr>
          <w:lang w:val="en-US"/>
        </w:rPr>
        <w:t>Rothgang</w:t>
      </w:r>
      <w:proofErr w:type="spellEnd"/>
      <w:r w:rsidRPr="00D70DF6">
        <w:rPr>
          <w:lang w:val="en-US"/>
        </w:rPr>
        <w:t xml:space="preserve"> (2010) and </w:t>
      </w:r>
      <w:proofErr w:type="spellStart"/>
      <w:r w:rsidRPr="00D70DF6">
        <w:rPr>
          <w:lang w:val="en-US"/>
        </w:rPr>
        <w:t>Böhm</w:t>
      </w:r>
      <w:proofErr w:type="spellEnd"/>
      <w:r w:rsidRPr="00D70DF6">
        <w:rPr>
          <w:lang w:val="en-US"/>
        </w:rPr>
        <w:t xml:space="preserve"> et al. (2013) – Focus on health policy actors</w:t>
      </w:r>
    </w:p>
    <w:p w:rsidR="00462285" w:rsidRPr="00D70DF6" w:rsidRDefault="000E3777" w:rsidP="00462285">
      <w:pPr>
        <w:pStyle w:val="05Aufzhlung"/>
        <w:rPr>
          <w:lang w:val="en-US"/>
        </w:rPr>
      </w:pPr>
      <w:proofErr w:type="spellStart"/>
      <w:r w:rsidRPr="00D70DF6">
        <w:rPr>
          <w:lang w:val="en-US"/>
        </w:rPr>
        <w:t>Rothgang</w:t>
      </w:r>
      <w:proofErr w:type="spellEnd"/>
      <w:r w:rsidRPr="00D70DF6">
        <w:rPr>
          <w:lang w:val="en-US"/>
        </w:rPr>
        <w:t xml:space="preserve"> </w:t>
      </w:r>
      <w:r w:rsidR="00462285" w:rsidRPr="00D70DF6">
        <w:rPr>
          <w:lang w:val="en-US"/>
        </w:rPr>
        <w:t xml:space="preserve">combined the dimensions Governance, Financing and Provision with </w:t>
      </w:r>
      <w:r w:rsidRPr="00D70DF6">
        <w:rPr>
          <w:lang w:val="en-US"/>
        </w:rPr>
        <w:t>3 different types of actors: Public, private, private non-profit and revealed 27 types</w:t>
      </w:r>
    </w:p>
    <w:p w:rsidR="000E3777" w:rsidRPr="00D70DF6" w:rsidRDefault="000E3777" w:rsidP="00462285">
      <w:pPr>
        <w:pStyle w:val="05Aufzhlung"/>
        <w:rPr>
          <w:lang w:val="en-US"/>
        </w:rPr>
      </w:pPr>
      <w:proofErr w:type="spellStart"/>
      <w:r w:rsidRPr="00D70DF6">
        <w:rPr>
          <w:lang w:val="en-US"/>
        </w:rPr>
        <w:t>Böhm</w:t>
      </w:r>
      <w:proofErr w:type="spellEnd"/>
      <w:r w:rsidRPr="00D70DF6">
        <w:rPr>
          <w:lang w:val="en-US"/>
        </w:rPr>
        <w:t xml:space="preserve"> et al. (2013) tested the existence in OECD countries and revealed 5 true systems</w:t>
      </w:r>
    </w:p>
    <w:p w:rsidR="000E3777" w:rsidRPr="00D70DF6" w:rsidRDefault="000E3777" w:rsidP="000E3777">
      <w:pPr>
        <w:pStyle w:val="05Aufzhlung"/>
        <w:numPr>
          <w:ilvl w:val="1"/>
          <w:numId w:val="3"/>
        </w:numPr>
        <w:rPr>
          <w:lang w:val="en-US"/>
        </w:rPr>
      </w:pPr>
      <w:r w:rsidRPr="00D70DF6">
        <w:rPr>
          <w:lang w:val="en-US"/>
        </w:rPr>
        <w:t xml:space="preserve">The </w:t>
      </w:r>
      <w:r w:rsidRPr="000E3777">
        <w:rPr>
          <w:lang w:val="en-US"/>
        </w:rPr>
        <w:t>National health</w:t>
      </w:r>
      <w:r w:rsidRPr="00D70DF6">
        <w:rPr>
          <w:lang w:val="en-US"/>
        </w:rPr>
        <w:t xml:space="preserve"> </w:t>
      </w:r>
      <w:r w:rsidRPr="000E3777">
        <w:rPr>
          <w:lang w:val="en-US"/>
        </w:rPr>
        <w:t xml:space="preserve">service, the National health insurance, the Social health insurance, the </w:t>
      </w:r>
      <w:proofErr w:type="spellStart"/>
      <w:r w:rsidRPr="000E3777">
        <w:rPr>
          <w:lang w:val="en-US"/>
        </w:rPr>
        <w:t>Etatist</w:t>
      </w:r>
      <w:proofErr w:type="spellEnd"/>
      <w:r w:rsidRPr="000E3777">
        <w:rPr>
          <w:lang w:val="en-US"/>
        </w:rPr>
        <w:t xml:space="preserve"> social</w:t>
      </w:r>
      <w:r w:rsidRPr="00D70DF6">
        <w:rPr>
          <w:lang w:val="en-US"/>
        </w:rPr>
        <w:t xml:space="preserve"> health insurance, and the Private health system</w:t>
      </w:r>
    </w:p>
    <w:p w:rsidR="00462285" w:rsidRPr="00D70DF6" w:rsidRDefault="00462285" w:rsidP="0007359D">
      <w:pPr>
        <w:pStyle w:val="05Aufzhlungnummeriert"/>
        <w:rPr>
          <w:lang w:val="en-US"/>
        </w:rPr>
      </w:pPr>
      <w:r w:rsidRPr="00D70DF6">
        <w:rPr>
          <w:noProof/>
          <w:lang w:val="en-US"/>
        </w:rPr>
        <w:lastRenderedPageBreak/>
        <w:drawing>
          <wp:inline distT="0" distB="0" distL="0" distR="0" wp14:anchorId="1D74305F" wp14:editId="56AAEB3A">
            <wp:extent cx="5760720" cy="43370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F7" w:rsidRPr="00D70DF6" w:rsidRDefault="00512A00" w:rsidP="0007359D">
      <w:pPr>
        <w:pStyle w:val="05Aufzhlungnummeriert"/>
        <w:rPr>
          <w:lang w:val="en-US"/>
        </w:rPr>
      </w:pPr>
      <w:r w:rsidRPr="00D70DF6">
        <w:rPr>
          <w:lang w:val="en-US"/>
        </w:rPr>
        <w:t xml:space="preserve">3c. Wendt et al. </w:t>
      </w:r>
      <w:r w:rsidR="00CB626E" w:rsidRPr="00D70DF6">
        <w:rPr>
          <w:lang w:val="en-US"/>
        </w:rPr>
        <w:t>(</w:t>
      </w:r>
      <w:r w:rsidRPr="00D70DF6">
        <w:rPr>
          <w:lang w:val="en-US"/>
        </w:rPr>
        <w:t>2009</w:t>
      </w:r>
      <w:r w:rsidR="00CB626E" w:rsidRPr="00D70DF6">
        <w:rPr>
          <w:lang w:val="en-US"/>
        </w:rPr>
        <w:t>)</w:t>
      </w:r>
      <w:r w:rsidRPr="00D70DF6">
        <w:rPr>
          <w:lang w:val="en-US"/>
        </w:rPr>
        <w:t xml:space="preserve"> – Focus on institutional settings</w:t>
      </w:r>
    </w:p>
    <w:p w:rsidR="00CB626E" w:rsidRPr="00D70DF6" w:rsidRDefault="00CB626E" w:rsidP="00CB626E">
      <w:pPr>
        <w:pStyle w:val="05Aufzhlung"/>
        <w:rPr>
          <w:lang w:val="en-US"/>
        </w:rPr>
      </w:pPr>
      <w:r w:rsidRPr="00D70DF6">
        <w:rPr>
          <w:lang w:val="en-US"/>
        </w:rPr>
        <w:t>Focus on patients’ access to healthcare</w:t>
      </w:r>
    </w:p>
    <w:p w:rsidR="00CB626E" w:rsidRPr="00D70DF6" w:rsidRDefault="00CB626E" w:rsidP="00CB626E">
      <w:pPr>
        <w:pStyle w:val="05Aufzhlung"/>
        <w:rPr>
          <w:lang w:val="en-US"/>
        </w:rPr>
      </w:pPr>
      <w:r w:rsidRPr="00D70DF6">
        <w:rPr>
          <w:lang w:val="en-US"/>
        </w:rPr>
        <w:t>Healthcare system type with 1) high service supply and weak regulation, 2) medium to high supply and strong access regulation and 3) low supply and strong access regulation</w:t>
      </w:r>
    </w:p>
    <w:p w:rsidR="00512A00" w:rsidRPr="00D70DF6" w:rsidRDefault="00512A00" w:rsidP="00CB626E">
      <w:pPr>
        <w:pStyle w:val="05Aufzhlungnummeriert"/>
        <w:jc w:val="center"/>
        <w:rPr>
          <w:lang w:val="en-US"/>
        </w:rPr>
      </w:pPr>
      <w:r w:rsidRPr="00D70DF6">
        <w:rPr>
          <w:noProof/>
          <w:lang w:val="en-US"/>
        </w:rPr>
        <w:drawing>
          <wp:inline distT="0" distB="0" distL="0" distR="0" wp14:anchorId="4AD5E8EE" wp14:editId="59C44D08">
            <wp:extent cx="3305175" cy="29127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844" cy="29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Pr="00D70DF6" w:rsidRDefault="00A87528" w:rsidP="00A87528">
      <w:pPr>
        <w:pStyle w:val="berschrift2"/>
        <w:rPr>
          <w:lang w:val="en-US"/>
        </w:rPr>
      </w:pPr>
      <w:r w:rsidRPr="00D70DF6">
        <w:rPr>
          <w:lang w:val="en-US"/>
        </w:rPr>
        <w:lastRenderedPageBreak/>
        <w:t>Aim of the study</w:t>
      </w:r>
    </w:p>
    <w:p w:rsidR="00A87528" w:rsidRPr="00D70DF6" w:rsidRDefault="00A87528" w:rsidP="00A87528">
      <w:pPr>
        <w:pStyle w:val="05Aufzhlung"/>
        <w:rPr>
          <w:lang w:val="en-US"/>
        </w:rPr>
      </w:pPr>
      <w:r w:rsidRPr="00D70DF6">
        <w:rPr>
          <w:lang w:val="en-US"/>
        </w:rPr>
        <w:t>To integrate both perspectives on healthcare systems to provide a more all-encompassing classification of healthcare systems</w:t>
      </w:r>
    </w:p>
    <w:p w:rsidR="00A87528" w:rsidRPr="00D70DF6" w:rsidRDefault="00A87528" w:rsidP="005B04C7">
      <w:pPr>
        <w:pStyle w:val="05Aufzhlung"/>
        <w:rPr>
          <w:lang w:val="en-US"/>
        </w:rPr>
      </w:pPr>
      <w:r w:rsidRPr="00D70DF6">
        <w:rPr>
          <w:lang w:val="en-US"/>
        </w:rPr>
        <w:t>The basis for such an integration is the definition of theoretical dimensions and empirical indicators</w:t>
      </w:r>
    </w:p>
    <w:tbl>
      <w:tblPr>
        <w:tblStyle w:val="Tabelle1"/>
        <w:tblW w:w="9355" w:type="dxa"/>
        <w:tblLook w:val="04A0" w:firstRow="1" w:lastRow="0" w:firstColumn="1" w:lastColumn="0" w:noHBand="0" w:noVBand="1"/>
      </w:tblPr>
      <w:tblGrid>
        <w:gridCol w:w="2518"/>
        <w:gridCol w:w="3151"/>
        <w:gridCol w:w="3686"/>
      </w:tblGrid>
      <w:tr w:rsidR="005B04C7" w:rsidRPr="00D70DF6" w:rsidTr="0090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b/>
                <w:lang w:val="en-US"/>
              </w:rPr>
            </w:pPr>
            <w:r w:rsidRPr="00D70DF6">
              <w:rPr>
                <w:b/>
                <w:lang w:val="en-US"/>
              </w:rPr>
              <w:t>Dimension Healthcare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bookmarkStart w:id="1" w:name="_Hlk11593175"/>
            <w:r w:rsidRPr="00D70DF6">
              <w:rPr>
                <w:b/>
                <w:lang w:val="en-US"/>
              </w:rPr>
              <w:t>Indicator Healthcare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70DF6">
              <w:rPr>
                <w:b/>
                <w:lang w:val="en-US"/>
              </w:rPr>
              <w:t>Note</w:t>
            </w:r>
          </w:p>
        </w:tc>
      </w:tr>
      <w:tr w:rsidR="005B04C7" w:rsidRPr="00D70DF6" w:rsidTr="0090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Supply</w:t>
            </w:r>
            <w:r w:rsidR="003D764D" w:rsidRPr="00D70DF6">
              <w:rPr>
                <w:lang w:val="en-US"/>
              </w:rPr>
              <w:t xml:space="preserve"> I</w:t>
            </w:r>
          </w:p>
        </w:tc>
        <w:tc>
          <w:tcPr>
            <w:tcW w:w="3151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Current expenditure on healthcare per capita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04C7" w:rsidRPr="00D70DF6" w:rsidTr="00905D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Supply</w:t>
            </w:r>
            <w:r w:rsidR="003D764D" w:rsidRPr="00D70DF6">
              <w:rPr>
                <w:lang w:val="en-US"/>
              </w:rPr>
              <w:t xml:space="preserve"> II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Number of general practitioners/1000 inhabitants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5B04C7" w:rsidRPr="00D70DF6" w:rsidRDefault="00905D89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M</w:t>
            </w:r>
            <w:r w:rsidR="005B04C7" w:rsidRPr="00D70DF6">
              <w:rPr>
                <w:lang w:val="en-US"/>
              </w:rPr>
              <w:t>easure of human resources supply</w:t>
            </w:r>
          </w:p>
        </w:tc>
      </w:tr>
      <w:tr w:rsidR="005B04C7" w:rsidRPr="00D70DF6" w:rsidTr="0090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Public-private-Mix</w:t>
            </w:r>
            <w:r w:rsidR="003D764D" w:rsidRPr="00D70DF6">
              <w:rPr>
                <w:lang w:val="en-US"/>
              </w:rPr>
              <w:t xml:space="preserve"> I</w:t>
            </w:r>
          </w:p>
        </w:tc>
        <w:tc>
          <w:tcPr>
            <w:tcW w:w="3151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Share of public health expenditures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04C7" w:rsidRPr="00D70DF6" w:rsidTr="00905D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Public-private-Mix</w:t>
            </w:r>
            <w:r w:rsidR="003D764D" w:rsidRPr="00D70DF6">
              <w:rPr>
                <w:lang w:val="en-US"/>
              </w:rPr>
              <w:t xml:space="preserve"> II</w:t>
            </w:r>
          </w:p>
        </w:tc>
        <w:tc>
          <w:tcPr>
            <w:tcW w:w="3151" w:type="dxa"/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Share of out-of-pocket payments of the total health expenditure</w:t>
            </w:r>
          </w:p>
        </w:tc>
        <w:tc>
          <w:tcPr>
            <w:tcW w:w="3686" w:type="dxa"/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04C7" w:rsidRPr="00D70DF6" w:rsidTr="0090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Public-private-Mix</w:t>
            </w:r>
            <w:r w:rsidR="003D764D" w:rsidRPr="00D70DF6">
              <w:rPr>
                <w:lang w:val="en-US"/>
              </w:rPr>
              <w:t xml:space="preserve"> III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:rsidR="005B04C7" w:rsidRPr="00D70DF6" w:rsidRDefault="003D764D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Renumeration of p</w:t>
            </w:r>
            <w:r w:rsidR="005B04C7" w:rsidRPr="00D70DF6">
              <w:rPr>
                <w:lang w:val="en-US"/>
              </w:rPr>
              <w:t xml:space="preserve">ayment </w:t>
            </w:r>
            <w:r w:rsidRPr="00D70DF6">
              <w:rPr>
                <w:lang w:val="en-US"/>
              </w:rPr>
              <w:t>for</w:t>
            </w:r>
            <w:r w:rsidR="005B04C7" w:rsidRPr="00D70DF6">
              <w:rPr>
                <w:lang w:val="en-US"/>
              </w:rPr>
              <w:t xml:space="preserve"> specialists</w:t>
            </w:r>
          </w:p>
          <w:p w:rsidR="003D764D" w:rsidRPr="00D70DF6" w:rsidRDefault="003D764D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0: fee-for-service</w:t>
            </w:r>
          </w:p>
          <w:p w:rsidR="003D764D" w:rsidRPr="00D70DF6" w:rsidRDefault="003D764D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1: salary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5B04C7" w:rsidRPr="00D70DF6" w:rsidRDefault="00662AB2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F</w:t>
            </w:r>
            <w:r w:rsidR="005B04C7" w:rsidRPr="00D70DF6">
              <w:rPr>
                <w:lang w:val="en-US"/>
              </w:rPr>
              <w:t xml:space="preserve">ee-for-service payment of self-employed specialists </w:t>
            </w:r>
            <w:r w:rsidRPr="00D70DF6">
              <w:rPr>
                <w:lang w:val="en-US"/>
              </w:rPr>
              <w:t xml:space="preserve">vs. </w:t>
            </w:r>
            <w:r w:rsidR="005B04C7" w:rsidRPr="00D70DF6">
              <w:rPr>
                <w:lang w:val="en-US"/>
              </w:rPr>
              <w:t>provision of specialist care through salaried employees</w:t>
            </w:r>
          </w:p>
        </w:tc>
      </w:tr>
      <w:tr w:rsidR="005B04C7" w:rsidRPr="00D70DF6" w:rsidTr="00905D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Institutional access regulation</w:t>
            </w:r>
            <w:r w:rsidR="003D764D" w:rsidRPr="00D70DF6">
              <w:rPr>
                <w:lang w:val="en-US"/>
              </w:rPr>
              <w:t xml:space="preserve"> I</w:t>
            </w:r>
          </w:p>
        </w:tc>
        <w:tc>
          <w:tcPr>
            <w:tcW w:w="3151" w:type="dxa"/>
            <w:tcBorders>
              <w:top w:val="single" w:sz="4" w:space="0" w:color="auto"/>
            </w:tcBorders>
          </w:tcPr>
          <w:p w:rsidR="003D764D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Requirement to register with a GP (0/1)</w:t>
            </w:r>
            <w:r w:rsidR="003D764D" w:rsidRPr="00D70DF6">
              <w:rPr>
                <w:lang w:val="en-US"/>
              </w:rPr>
              <w:t xml:space="preserve"> + </w:t>
            </w:r>
          </w:p>
          <w:p w:rsidR="003D764D" w:rsidRPr="00D70DF6" w:rsidRDefault="003D764D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Access of specialist care</w:t>
            </w:r>
          </w:p>
          <w:p w:rsidR="003D764D" w:rsidRPr="003D764D" w:rsidRDefault="003D764D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D764D">
              <w:rPr>
                <w:lang w:val="en-US"/>
              </w:rPr>
              <w:t>0: Referral from GP</w:t>
            </w:r>
          </w:p>
          <w:p w:rsidR="003D764D" w:rsidRPr="003D764D" w:rsidRDefault="003D764D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D764D">
              <w:rPr>
                <w:lang w:val="en-US"/>
              </w:rPr>
              <w:t>1: w/o referral but w/ additional co-payment</w:t>
            </w:r>
          </w:p>
          <w:p w:rsidR="005B04C7" w:rsidRPr="00D70DF6" w:rsidRDefault="003D764D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2: w/o any restriction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5B04C7" w:rsidRPr="00D70DF6" w:rsidRDefault="00662AB2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S</w:t>
            </w:r>
            <w:r w:rsidR="005B04C7" w:rsidRPr="00D70DF6">
              <w:rPr>
                <w:lang w:val="en-US"/>
              </w:rPr>
              <w:t>ocial rights in the healthcare system = the regulations that define the conditions under which individuals have access to care</w:t>
            </w:r>
          </w:p>
          <w:p w:rsidR="00905D89" w:rsidRPr="00D70DF6" w:rsidRDefault="00905D89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3D764D" w:rsidRPr="00D70DF6" w:rsidRDefault="003D764D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Possible values 0-3</w:t>
            </w:r>
          </w:p>
        </w:tc>
      </w:tr>
      <w:tr w:rsidR="005B04C7" w:rsidRPr="00D70DF6" w:rsidTr="0090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Institutional access regulation</w:t>
            </w:r>
            <w:r w:rsidR="003D764D" w:rsidRPr="00D70DF6">
              <w:rPr>
                <w:lang w:val="en-US"/>
              </w:rPr>
              <w:t xml:space="preserve"> II</w:t>
            </w:r>
          </w:p>
        </w:tc>
        <w:tc>
          <w:tcPr>
            <w:tcW w:w="3151" w:type="dxa"/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Whether systems generally have cost sharing for GP visits (0/1)</w:t>
            </w:r>
          </w:p>
        </w:tc>
        <w:tc>
          <w:tcPr>
            <w:tcW w:w="3686" w:type="dxa"/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04C7" w:rsidRPr="00D70DF6" w:rsidTr="00905D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Institutional access regulation</w:t>
            </w:r>
            <w:r w:rsidR="003D764D" w:rsidRPr="00D70DF6">
              <w:rPr>
                <w:lang w:val="en-US"/>
              </w:rPr>
              <w:t xml:space="preserve"> III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Whether individuals can choose the specific provider (0/1)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04C7" w:rsidRPr="00D70DF6" w:rsidTr="0090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Primary care orientation</w:t>
            </w:r>
            <w:r w:rsidR="003D764D" w:rsidRPr="00D70DF6">
              <w:rPr>
                <w:lang w:val="en-US"/>
              </w:rPr>
              <w:t xml:space="preserve"> I</w:t>
            </w:r>
          </w:p>
        </w:tc>
        <w:tc>
          <w:tcPr>
            <w:tcW w:w="3151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Ratio of general practitioners to specialists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Ratio Positive -&gt; country has more GP than Specialists and vice versa</w:t>
            </w:r>
          </w:p>
        </w:tc>
      </w:tr>
      <w:tr w:rsidR="005B04C7" w:rsidRPr="00D70DF6" w:rsidTr="00905D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Primary care orientation</w:t>
            </w:r>
            <w:r w:rsidR="003D764D" w:rsidRPr="00D70DF6">
              <w:rPr>
                <w:lang w:val="en-US"/>
              </w:rPr>
              <w:t xml:space="preserve"> I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Share of health expenditure on outpatient care of the total health expenditure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How strong ambulatory care is in the respective country</w:t>
            </w:r>
          </w:p>
        </w:tc>
      </w:tr>
      <w:tr w:rsidR="005B04C7" w:rsidRPr="00D70DF6" w:rsidTr="0090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:rsidR="005B04C7" w:rsidRPr="00D70DF6" w:rsidRDefault="00B57886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Performance in prevention I</w:t>
            </w:r>
          </w:p>
        </w:tc>
        <w:tc>
          <w:tcPr>
            <w:tcW w:w="3151" w:type="dxa"/>
            <w:tcBorders>
              <w:top w:val="single" w:sz="4" w:space="0" w:color="auto"/>
            </w:tcBorders>
          </w:tcPr>
          <w:p w:rsidR="005B04C7" w:rsidRPr="00D70DF6" w:rsidRDefault="00B57886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% of daily smokers in population aged 15+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5B04C7" w:rsidRPr="00D70DF6" w:rsidRDefault="005B04C7" w:rsidP="00905D89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7886" w:rsidRPr="00D70DF6" w:rsidTr="00B57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nil"/>
            </w:tcBorders>
          </w:tcPr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t>Performance in prevention II</w:t>
            </w:r>
          </w:p>
        </w:tc>
        <w:tc>
          <w:tcPr>
            <w:tcW w:w="3151" w:type="dxa"/>
            <w:tcBorders>
              <w:bottom w:val="nil"/>
            </w:tcBorders>
          </w:tcPr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% of alcohol consumption in liters in population aged 15+</w:t>
            </w:r>
          </w:p>
        </w:tc>
        <w:tc>
          <w:tcPr>
            <w:tcW w:w="3686" w:type="dxa"/>
            <w:tcBorders>
              <w:bottom w:val="nil"/>
            </w:tcBorders>
          </w:tcPr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7886" w:rsidRPr="00D70DF6" w:rsidTr="00B57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il"/>
              <w:bottom w:val="single" w:sz="8" w:space="0" w:color="000000"/>
            </w:tcBorders>
          </w:tcPr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 w:rsidRPr="00D70DF6">
              <w:rPr>
                <w:lang w:val="en-US"/>
              </w:rPr>
              <w:lastRenderedPageBreak/>
              <w:t>Performance in quality of care I</w:t>
            </w:r>
          </w:p>
        </w:tc>
        <w:tc>
          <w:tcPr>
            <w:tcW w:w="3151" w:type="dxa"/>
            <w:tcBorders>
              <w:top w:val="nil"/>
              <w:bottom w:val="single" w:sz="8" w:space="0" w:color="000000"/>
            </w:tcBorders>
          </w:tcPr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Quality sum index of six indicators</w:t>
            </w:r>
          </w:p>
        </w:tc>
        <w:tc>
          <w:tcPr>
            <w:tcW w:w="3686" w:type="dxa"/>
            <w:tcBorders>
              <w:top w:val="nil"/>
              <w:bottom w:val="single" w:sz="8" w:space="0" w:color="000000"/>
            </w:tcBorders>
          </w:tcPr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Number of hospital admissions per 100,000 (age-sex standardized rate, 15+years) for</w:t>
            </w: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(1) asthma and COPD</w:t>
            </w: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(2) congestive heart failure and hypertension</w:t>
            </w: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(3) diabetes</w:t>
            </w: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as well as 30-day mortality after hospital admission per one hundred hospital discharges (age-sex standardized rate, 45+years) for</w:t>
            </w: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(4) acute myocardial infarction</w:t>
            </w: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(5) hemorrhagic stroke</w:t>
            </w:r>
          </w:p>
          <w:p w:rsidR="00B57886" w:rsidRPr="00D70DF6" w:rsidRDefault="00B57886" w:rsidP="00B57886">
            <w:pPr>
              <w:pStyle w:val="05Aufzhlung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0DF6">
              <w:rPr>
                <w:lang w:val="en-US"/>
              </w:rPr>
              <w:t>(6) ischemic stroke</w:t>
            </w:r>
          </w:p>
        </w:tc>
      </w:tr>
    </w:tbl>
    <w:bookmarkEnd w:id="1"/>
    <w:p w:rsidR="00916343" w:rsidRPr="00D70DF6" w:rsidRDefault="00916343" w:rsidP="005617B0">
      <w:pPr>
        <w:pStyle w:val="berschrift2"/>
        <w:rPr>
          <w:lang w:val="en-US"/>
        </w:rPr>
      </w:pPr>
      <w:r w:rsidRPr="00D70DF6">
        <w:rPr>
          <w:lang w:val="en-US"/>
        </w:rPr>
        <w:t>Data</w:t>
      </w:r>
    </w:p>
    <w:p w:rsidR="00916343" w:rsidRPr="00D70DF6" w:rsidRDefault="00916343" w:rsidP="00916343">
      <w:pPr>
        <w:pStyle w:val="05Aufzhlung"/>
        <w:rPr>
          <w:lang w:val="en-US"/>
        </w:rPr>
      </w:pPr>
      <w:r w:rsidRPr="00D70DF6">
        <w:rPr>
          <w:lang w:val="en-US"/>
        </w:rPr>
        <w:t>29 OECD countries</w:t>
      </w:r>
    </w:p>
    <w:p w:rsidR="00916343" w:rsidRPr="00D70DF6" w:rsidRDefault="00916343" w:rsidP="00916343">
      <w:pPr>
        <w:pStyle w:val="05Aufzhlung"/>
        <w:rPr>
          <w:lang w:val="en-US"/>
        </w:rPr>
      </w:pPr>
      <w:r w:rsidRPr="00D70DF6">
        <w:rPr>
          <w:lang w:val="en-US"/>
        </w:rPr>
        <w:t>Average value of the years 2011 to 2014 since not all countries provide data on each specific year</w:t>
      </w:r>
    </w:p>
    <w:p w:rsidR="006A193D" w:rsidRPr="00D70DF6" w:rsidRDefault="006A193D" w:rsidP="00D70DF6">
      <w:pPr>
        <w:pStyle w:val="berschrift3"/>
        <w:rPr>
          <w:lang w:val="en-US"/>
        </w:rPr>
      </w:pPr>
      <w:r w:rsidRPr="00D70DF6">
        <w:rPr>
          <w:lang w:val="en-US"/>
        </w:rPr>
        <w:t>Imputation:</w:t>
      </w:r>
    </w:p>
    <w:p w:rsidR="006A193D" w:rsidRPr="00D70DF6" w:rsidRDefault="006A193D" w:rsidP="00D70DF6">
      <w:pPr>
        <w:pStyle w:val="05Aufzhlung"/>
        <w:rPr>
          <w:lang w:val="en-US"/>
        </w:rPr>
      </w:pPr>
      <w:r w:rsidRPr="00D70DF6">
        <w:rPr>
          <w:lang w:val="en-US"/>
        </w:rPr>
        <w:t xml:space="preserve">If data was missing: We used three different imputation methods. First, data were imputed from other sources, such as the </w:t>
      </w:r>
      <w:r w:rsidRPr="00D70DF6">
        <w:rPr>
          <w:u w:val="single"/>
          <w:lang w:val="en-US"/>
        </w:rPr>
        <w:t>Health in Transition reports</w:t>
      </w:r>
      <w:r w:rsidRPr="00D70DF6">
        <w:rPr>
          <w:lang w:val="en-US"/>
        </w:rPr>
        <w:t xml:space="preserve">. Second, data were imputed using </w:t>
      </w:r>
      <w:r w:rsidRPr="00D70DF6">
        <w:rPr>
          <w:u w:val="single"/>
          <w:lang w:val="en-US"/>
        </w:rPr>
        <w:t>interpolation of earlier values</w:t>
      </w:r>
      <w:r w:rsidRPr="00D70DF6">
        <w:rPr>
          <w:lang w:val="en-US"/>
        </w:rPr>
        <w:t xml:space="preserve">. Third, </w:t>
      </w:r>
      <w:r w:rsidRPr="00D70DF6">
        <w:rPr>
          <w:u w:val="single"/>
          <w:lang w:val="en-US"/>
        </w:rPr>
        <w:t>nearest neighbor imputation</w:t>
      </w:r>
      <w:r w:rsidRPr="00D70DF6">
        <w:rPr>
          <w:lang w:val="en-US"/>
        </w:rPr>
        <w:t xml:space="preserve"> was used if the two other options were not available.</w:t>
      </w:r>
    </w:p>
    <w:p w:rsidR="00D70DF6" w:rsidRPr="00D70DF6" w:rsidRDefault="00D70DF6" w:rsidP="00D70DF6">
      <w:pPr>
        <w:pStyle w:val="berschrift3"/>
        <w:rPr>
          <w:lang w:val="en-US"/>
        </w:rPr>
      </w:pPr>
      <w:proofErr w:type="spellStart"/>
      <w:r w:rsidRPr="00D70DF6">
        <w:rPr>
          <w:lang w:val="en-US"/>
        </w:rPr>
        <w:t>HiTs</w:t>
      </w:r>
      <w:proofErr w:type="spellEnd"/>
    </w:p>
    <w:p w:rsidR="00916343" w:rsidRPr="00D70DF6" w:rsidRDefault="00916343" w:rsidP="00916343">
      <w:pPr>
        <w:pStyle w:val="05Aufzhlung"/>
        <w:rPr>
          <w:lang w:val="en-US"/>
        </w:rPr>
      </w:pPr>
      <w:r w:rsidRPr="00D70DF6">
        <w:rPr>
          <w:lang w:val="en-US"/>
        </w:rPr>
        <w:t>Indicators and indices on access regulation, cost sharing choice restrictions and the renumeration of specialists are based on the coding information from countries’ most recent Health in Transition Report (</w:t>
      </w:r>
      <w:proofErr w:type="spellStart"/>
      <w:r w:rsidRPr="00D70DF6">
        <w:rPr>
          <w:lang w:val="en-US"/>
        </w:rPr>
        <w:t>HiT</w:t>
      </w:r>
      <w:proofErr w:type="spellEnd"/>
      <w:r w:rsidRPr="00D70DF6">
        <w:rPr>
          <w:lang w:val="en-US"/>
        </w:rPr>
        <w:t>) provided by the European Observatory on Health systems and Policies</w:t>
      </w:r>
    </w:p>
    <w:p w:rsidR="00916343" w:rsidRPr="00D70DF6" w:rsidRDefault="00C11A23" w:rsidP="00916343">
      <w:pPr>
        <w:pStyle w:val="05Aufzhlung"/>
        <w:numPr>
          <w:ilvl w:val="1"/>
          <w:numId w:val="3"/>
        </w:numPr>
        <w:rPr>
          <w:lang w:val="en-US"/>
        </w:rPr>
      </w:pPr>
      <w:hyperlink r:id="rId7" w:history="1">
        <w:r w:rsidR="00D70DF6" w:rsidRPr="00D70DF6">
          <w:rPr>
            <w:rStyle w:val="Hyperlink"/>
            <w:lang w:val="en-US"/>
          </w:rPr>
          <w:t>http://www.euro.who.int/en/about-us/partners/observatory/publications/health-system-reviews-hits/full-list-of-country-hits</w:t>
        </w:r>
      </w:hyperlink>
    </w:p>
    <w:p w:rsidR="00D70DF6" w:rsidRDefault="00D70DF6" w:rsidP="00D70DF6">
      <w:pPr>
        <w:pStyle w:val="05Aufzhlung"/>
        <w:rPr>
          <w:lang w:val="en-US"/>
        </w:rPr>
      </w:pPr>
      <w:r w:rsidRPr="00D70DF6">
        <w:rPr>
          <w:lang w:val="en-US"/>
        </w:rPr>
        <w:lastRenderedPageBreak/>
        <w:t>Although parallel healthcare systems with</w:t>
      </w:r>
      <w:r>
        <w:rPr>
          <w:lang w:val="en-US"/>
        </w:rPr>
        <w:t xml:space="preserve"> </w:t>
      </w:r>
      <w:r w:rsidRPr="00D70DF6">
        <w:rPr>
          <w:lang w:val="en-US"/>
        </w:rPr>
        <w:t>differing regulations are in place in some countries, the codes refer</w:t>
      </w:r>
      <w:r>
        <w:rPr>
          <w:lang w:val="en-US"/>
        </w:rPr>
        <w:t xml:space="preserve"> </w:t>
      </w:r>
      <w:r w:rsidRPr="00D70DF6">
        <w:rPr>
          <w:lang w:val="en-US"/>
        </w:rPr>
        <w:t xml:space="preserve">to the system </w:t>
      </w:r>
      <w:r w:rsidRPr="00EC3374">
        <w:rPr>
          <w:u w:val="single"/>
          <w:lang w:val="en-US"/>
        </w:rPr>
        <w:t xml:space="preserve">for </w:t>
      </w:r>
      <w:proofErr w:type="gramStart"/>
      <w:r w:rsidRPr="00EC3374">
        <w:rPr>
          <w:u w:val="single"/>
          <w:lang w:val="en-US"/>
        </w:rPr>
        <w:t>the majority of</w:t>
      </w:r>
      <w:proofErr w:type="gramEnd"/>
      <w:r w:rsidRPr="00EC3374">
        <w:rPr>
          <w:u w:val="single"/>
          <w:lang w:val="en-US"/>
        </w:rPr>
        <w:t xml:space="preserve"> the population</w:t>
      </w:r>
      <w:r w:rsidRPr="00D70DF6">
        <w:rPr>
          <w:lang w:val="en-US"/>
        </w:rPr>
        <w:t>. The data refer to</w:t>
      </w:r>
      <w:r>
        <w:rPr>
          <w:lang w:val="en-US"/>
        </w:rPr>
        <w:t xml:space="preserve"> </w:t>
      </w:r>
      <w:r w:rsidRPr="00D70DF6">
        <w:rPr>
          <w:lang w:val="en-US"/>
        </w:rPr>
        <w:t xml:space="preserve">the year </w:t>
      </w:r>
      <w:r w:rsidRPr="00EC3374">
        <w:rPr>
          <w:u w:val="single"/>
          <w:lang w:val="en-US"/>
        </w:rPr>
        <w:t>2013</w:t>
      </w:r>
      <w:r w:rsidRPr="00D70DF6">
        <w:rPr>
          <w:lang w:val="en-US"/>
        </w:rPr>
        <w:t xml:space="preserve">, yet most </w:t>
      </w:r>
      <w:proofErr w:type="spellStart"/>
      <w:r w:rsidRPr="00D70DF6">
        <w:rPr>
          <w:lang w:val="en-US"/>
        </w:rPr>
        <w:t>HiTs</w:t>
      </w:r>
      <w:proofErr w:type="spellEnd"/>
      <w:r w:rsidRPr="00D70DF6">
        <w:rPr>
          <w:lang w:val="en-US"/>
        </w:rPr>
        <w:t xml:space="preserve"> were published before or after this</w:t>
      </w:r>
      <w:r>
        <w:rPr>
          <w:lang w:val="en-US"/>
        </w:rPr>
        <w:t xml:space="preserve"> </w:t>
      </w:r>
      <w:r w:rsidRPr="00D70DF6">
        <w:rPr>
          <w:lang w:val="en-US"/>
        </w:rPr>
        <w:t xml:space="preserve">year; thus, we checked the accuracy of the data with </w:t>
      </w:r>
      <w:r w:rsidRPr="00EC3374">
        <w:rPr>
          <w:u w:val="single"/>
          <w:lang w:val="en-US"/>
        </w:rPr>
        <w:t>health policy experts for each country</w:t>
      </w:r>
    </w:p>
    <w:p w:rsidR="00D70DF6" w:rsidRDefault="00D70DF6" w:rsidP="00D70DF6">
      <w:pPr>
        <w:pStyle w:val="05Aufzhlung"/>
        <w:numPr>
          <w:ilvl w:val="1"/>
          <w:numId w:val="3"/>
        </w:numPr>
        <w:rPr>
          <w:lang w:val="en-US"/>
        </w:rPr>
      </w:pPr>
      <w:r w:rsidRPr="00D70DF6">
        <w:rPr>
          <w:lang w:val="en-US"/>
        </w:rPr>
        <w:t xml:space="preserve">To do this, we developed </w:t>
      </w:r>
      <w:r w:rsidRPr="00EC3374">
        <w:rPr>
          <w:u w:val="single"/>
          <w:lang w:val="en-US"/>
        </w:rPr>
        <w:t>questionnaires in</w:t>
      </w:r>
      <w:r w:rsidRPr="00D70DF6">
        <w:rPr>
          <w:lang w:val="en-US"/>
        </w:rPr>
        <w:t xml:space="preserve"> which country experts were able to check, correct, and </w:t>
      </w:r>
      <w:r w:rsidRPr="00EC3374">
        <w:rPr>
          <w:u w:val="single"/>
          <w:lang w:val="en-US"/>
        </w:rPr>
        <w:t>comment on our data coding</w:t>
      </w:r>
      <w:r w:rsidRPr="00D70DF6">
        <w:rPr>
          <w:lang w:val="en-US"/>
        </w:rPr>
        <w:t>. Questionnaires were sent via e-mail between</w:t>
      </w:r>
      <w:r>
        <w:rPr>
          <w:lang w:val="en-US"/>
        </w:rPr>
        <w:t xml:space="preserve"> </w:t>
      </w:r>
      <w:r w:rsidRPr="00EC3374">
        <w:rPr>
          <w:u w:val="single"/>
          <w:lang w:val="en-US"/>
        </w:rPr>
        <w:t>May and November 2016</w:t>
      </w:r>
      <w:r w:rsidRPr="00D70DF6">
        <w:rPr>
          <w:lang w:val="en-US"/>
        </w:rPr>
        <w:t xml:space="preserve">, and we received </w:t>
      </w:r>
      <w:r w:rsidRPr="00EC3374">
        <w:rPr>
          <w:u w:val="single"/>
          <w:lang w:val="en-US"/>
        </w:rPr>
        <w:t>47 back</w:t>
      </w:r>
      <w:r w:rsidRPr="00D70DF6">
        <w:rPr>
          <w:lang w:val="en-US"/>
        </w:rPr>
        <w:t xml:space="preserve">, with at </w:t>
      </w:r>
      <w:r w:rsidRPr="00EC3374">
        <w:rPr>
          <w:u w:val="single"/>
          <w:lang w:val="en-US"/>
        </w:rPr>
        <w:t>least one and a maximum of four from each country</w:t>
      </w:r>
    </w:p>
    <w:p w:rsidR="00D70DF6" w:rsidRPr="00AF15CD" w:rsidRDefault="00D70DF6" w:rsidP="00D70DF6">
      <w:pPr>
        <w:pStyle w:val="05Aufzhlung"/>
        <w:numPr>
          <w:ilvl w:val="1"/>
          <w:numId w:val="3"/>
        </w:numPr>
        <w:rPr>
          <w:lang w:val="en-US"/>
        </w:rPr>
      </w:pPr>
      <w:r w:rsidRPr="00D70DF6">
        <w:rPr>
          <w:lang w:val="en-US"/>
        </w:rPr>
        <w:t xml:space="preserve">When </w:t>
      </w:r>
      <w:r w:rsidRPr="00EC3374">
        <w:rPr>
          <w:u w:val="single"/>
          <w:lang w:val="en-US"/>
        </w:rPr>
        <w:t>differences</w:t>
      </w:r>
      <w:r>
        <w:rPr>
          <w:lang w:val="en-US"/>
        </w:rPr>
        <w:t xml:space="preserve"> </w:t>
      </w:r>
      <w:r w:rsidRPr="00D70DF6">
        <w:rPr>
          <w:lang w:val="en-US"/>
        </w:rPr>
        <w:t xml:space="preserve">between the original codes based on the </w:t>
      </w:r>
      <w:proofErr w:type="spellStart"/>
      <w:r w:rsidRPr="00D70DF6">
        <w:rPr>
          <w:lang w:val="en-US"/>
        </w:rPr>
        <w:t>HiTs’</w:t>
      </w:r>
      <w:proofErr w:type="spellEnd"/>
      <w:r w:rsidRPr="00D70DF6">
        <w:rPr>
          <w:lang w:val="en-US"/>
        </w:rPr>
        <w:t xml:space="preserve"> and experts’ codes</w:t>
      </w:r>
      <w:r>
        <w:rPr>
          <w:lang w:val="en-US"/>
        </w:rPr>
        <w:t xml:space="preserve"> </w:t>
      </w:r>
      <w:r w:rsidRPr="00D70DF6">
        <w:rPr>
          <w:lang w:val="en-US"/>
        </w:rPr>
        <w:t xml:space="preserve">occurred, the </w:t>
      </w:r>
      <w:r w:rsidRPr="00EC3374">
        <w:rPr>
          <w:u w:val="single"/>
          <w:lang w:val="en-US"/>
        </w:rPr>
        <w:t>authors discussed and determined the final codes by consulting additional experts and searching for additional reliable data sources</w:t>
      </w:r>
    </w:p>
    <w:p w:rsidR="00AF15CD" w:rsidRDefault="00AF15CD" w:rsidP="005617B0">
      <w:pPr>
        <w:pStyle w:val="berschrift2"/>
        <w:rPr>
          <w:lang w:val="en-US"/>
        </w:rPr>
      </w:pPr>
      <w:r>
        <w:rPr>
          <w:lang w:val="en-US"/>
        </w:rPr>
        <w:t>Methods</w:t>
      </w:r>
    </w:p>
    <w:p w:rsidR="00AF15CD" w:rsidRDefault="00AF15CD" w:rsidP="005617B0">
      <w:pPr>
        <w:pStyle w:val="berschrift3"/>
        <w:rPr>
          <w:lang w:val="en-US"/>
        </w:rPr>
      </w:pPr>
      <w:r>
        <w:rPr>
          <w:lang w:val="en-US"/>
        </w:rPr>
        <w:t>Cluster analysis</w:t>
      </w:r>
    </w:p>
    <w:p w:rsidR="005617B0" w:rsidRDefault="005617B0" w:rsidP="005617B0">
      <w:pPr>
        <w:pStyle w:val="05Aufzhlung"/>
        <w:rPr>
          <w:lang w:val="en-US"/>
        </w:rPr>
      </w:pPr>
      <w:r>
        <w:rPr>
          <w:lang w:val="en-US"/>
        </w:rPr>
        <w:t xml:space="preserve">Cluster analysis has become the standard method of classification for welfare state- and healthcare systems </w:t>
      </w:r>
      <w:r w:rsidR="004049BC">
        <w:rPr>
          <w:lang w:val="en-US"/>
        </w:rPr>
        <w:t>(Reibling et al. 2010; Wendt 2014; Minas et al. 2014)</w:t>
      </w:r>
    </w:p>
    <w:p w:rsidR="005617B0" w:rsidRDefault="005617B0" w:rsidP="005617B0">
      <w:pPr>
        <w:pStyle w:val="05Aufzhlung"/>
        <w:rPr>
          <w:lang w:val="en-US"/>
        </w:rPr>
      </w:pPr>
      <w:r>
        <w:rPr>
          <w:lang w:val="en-US"/>
        </w:rPr>
        <w:t xml:space="preserve">Great advantage of being able to systematically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the information on a larger set of indicators when assigning cluster membership</w:t>
      </w:r>
    </w:p>
    <w:p w:rsidR="005617B0" w:rsidRDefault="005617B0" w:rsidP="005617B0">
      <w:pPr>
        <w:pStyle w:val="05Aufzhlung"/>
        <w:rPr>
          <w:lang w:val="en-US"/>
        </w:rPr>
      </w:pPr>
      <w:r>
        <w:rPr>
          <w:lang w:val="en-US"/>
        </w:rPr>
        <w:t xml:space="preserve">However technical decisions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made and there are no widely accepted standards or statistical properties that can be used for determining the best solution (</w:t>
      </w:r>
      <w:r w:rsidR="00384048">
        <w:rPr>
          <w:lang w:val="en-US"/>
        </w:rPr>
        <w:t>Fonseca 2013)</w:t>
      </w:r>
    </w:p>
    <w:p w:rsidR="005617B0" w:rsidRDefault="005617B0" w:rsidP="00E62ADF">
      <w:pPr>
        <w:pStyle w:val="berschrift4"/>
        <w:rPr>
          <w:lang w:val="en-US"/>
        </w:rPr>
      </w:pPr>
      <w:r>
        <w:rPr>
          <w:lang w:val="en-US"/>
        </w:rPr>
        <w:t>Decisions</w:t>
      </w:r>
    </w:p>
    <w:p w:rsidR="005617B0" w:rsidRDefault="005617B0" w:rsidP="005617B0">
      <w:pPr>
        <w:pStyle w:val="05Aufzhlungnummeriert"/>
        <w:rPr>
          <w:lang w:val="en-US"/>
        </w:rPr>
      </w:pPr>
      <w:r>
        <w:rPr>
          <w:lang w:val="en-US"/>
        </w:rPr>
        <w:t>1. Standardization method for variables</w:t>
      </w:r>
    </w:p>
    <w:p w:rsidR="00B07E57" w:rsidRDefault="00B07E57" w:rsidP="00B07E57">
      <w:pPr>
        <w:pStyle w:val="05Aufzhlung"/>
        <w:rPr>
          <w:lang w:val="en-US"/>
        </w:rPr>
      </w:pPr>
      <w:r>
        <w:rPr>
          <w:lang w:val="en-US"/>
        </w:rPr>
        <w:t xml:space="preserve">Because variables have different scales, a </w:t>
      </w:r>
      <w:r w:rsidRPr="004008ED">
        <w:rPr>
          <w:u w:val="single"/>
          <w:lang w:val="en-US"/>
        </w:rPr>
        <w:t>standardization</w:t>
      </w:r>
      <w:r>
        <w:rPr>
          <w:lang w:val="en-US"/>
        </w:rPr>
        <w:t xml:space="preserve"> is suggested</w:t>
      </w:r>
    </w:p>
    <w:p w:rsidR="00B07E57" w:rsidRPr="00B07E57" w:rsidRDefault="00B07E57" w:rsidP="00B07E57">
      <w:pPr>
        <w:pStyle w:val="05Aufzhlung"/>
        <w:rPr>
          <w:lang w:val="en-US"/>
        </w:rPr>
      </w:pPr>
      <w:r>
        <w:rPr>
          <w:lang w:val="en-US"/>
        </w:rPr>
        <w:t>Milligan/Cooper (</w:t>
      </w:r>
      <w:r w:rsidR="00384048">
        <w:rPr>
          <w:lang w:val="en-US"/>
        </w:rPr>
        <w:t>1987</w:t>
      </w:r>
      <w:r>
        <w:rPr>
          <w:lang w:val="en-US"/>
        </w:rPr>
        <w:t xml:space="preserve">) argue that </w:t>
      </w:r>
      <w:r w:rsidRPr="004008ED">
        <w:rPr>
          <w:u w:val="single"/>
          <w:lang w:val="en-US"/>
        </w:rPr>
        <w:t>standardizing by range</w:t>
      </w:r>
      <w:r>
        <w:rPr>
          <w:lang w:val="en-US"/>
        </w:rPr>
        <w:t xml:space="preserve"> may lead to better results</w:t>
      </w:r>
    </w:p>
    <w:p w:rsidR="005617B0" w:rsidRDefault="005617B0" w:rsidP="005617B0">
      <w:pPr>
        <w:pStyle w:val="05Aufzhlungnummeriert"/>
        <w:rPr>
          <w:lang w:val="en-US"/>
        </w:rPr>
      </w:pPr>
      <w:r>
        <w:rPr>
          <w:lang w:val="en-US"/>
        </w:rPr>
        <w:t>2. Clustering method</w:t>
      </w:r>
    </w:p>
    <w:p w:rsidR="00B07E57" w:rsidRPr="004008ED" w:rsidRDefault="00B07E57" w:rsidP="00B07E57">
      <w:pPr>
        <w:pStyle w:val="05Aufzhlung"/>
        <w:rPr>
          <w:u w:val="single"/>
          <w:lang w:val="en-US"/>
        </w:rPr>
      </w:pPr>
      <w:proofErr w:type="spellStart"/>
      <w:r w:rsidRPr="004008ED">
        <w:rPr>
          <w:u w:val="single"/>
          <w:lang w:val="en-US"/>
        </w:rPr>
        <w:t>Hierarcical</w:t>
      </w:r>
      <w:proofErr w:type="spellEnd"/>
      <w:r w:rsidRPr="004008ED">
        <w:rPr>
          <w:u w:val="single"/>
          <w:lang w:val="en-US"/>
        </w:rPr>
        <w:t xml:space="preserve"> agglomerative clustering most popular</w:t>
      </w:r>
      <w:r w:rsidR="00203689">
        <w:rPr>
          <w:u w:val="single"/>
          <w:lang w:val="en-US"/>
        </w:rPr>
        <w:t xml:space="preserve"> </w:t>
      </w:r>
      <w:r w:rsidR="00203689" w:rsidRPr="00203689">
        <w:rPr>
          <w:b/>
          <w:bCs/>
          <w:u w:val="single"/>
          <w:lang w:val="en-US"/>
        </w:rPr>
        <w:t>(Source?)</w:t>
      </w:r>
    </w:p>
    <w:p w:rsidR="00B07E57" w:rsidRDefault="00B07E57" w:rsidP="00B07E57">
      <w:pPr>
        <w:pStyle w:val="05Aufzhlung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Treating each observation as a single cluster and consecutively merges observations until they are all in one cluster</w:t>
      </w:r>
    </w:p>
    <w:p w:rsidR="00B07E57" w:rsidRDefault="00B07E57" w:rsidP="00B07E57">
      <w:pPr>
        <w:pStyle w:val="05Aufzhlung"/>
        <w:rPr>
          <w:lang w:val="en-US"/>
        </w:rPr>
      </w:pPr>
      <w:r>
        <w:rPr>
          <w:lang w:val="en-US"/>
        </w:rPr>
        <w:t>Partitioning cluster</w:t>
      </w:r>
    </w:p>
    <w:p w:rsidR="00B07E57" w:rsidRDefault="00B07E57" w:rsidP="00B07E57">
      <w:pPr>
        <w:pStyle w:val="05Aufzhlung"/>
        <w:numPr>
          <w:ilvl w:val="1"/>
          <w:numId w:val="3"/>
        </w:numPr>
        <w:rPr>
          <w:lang w:val="en-US"/>
        </w:rPr>
      </w:pPr>
      <w:r w:rsidRPr="004008ED">
        <w:rPr>
          <w:u w:val="single"/>
          <w:lang w:val="en-US"/>
        </w:rPr>
        <w:t>K-means clustering</w:t>
      </w:r>
      <w:r>
        <w:rPr>
          <w:lang w:val="en-US"/>
        </w:rPr>
        <w:t xml:space="preserve"> uses within cluster-variation as a method of forming homogenous clusters</w:t>
      </w:r>
    </w:p>
    <w:p w:rsidR="00B07E57" w:rsidRDefault="00B07E57" w:rsidP="00B07E57">
      <w:pPr>
        <w:pStyle w:val="05Aufzhlung"/>
        <w:numPr>
          <w:ilvl w:val="1"/>
          <w:numId w:val="3"/>
        </w:numPr>
        <w:rPr>
          <w:lang w:val="en-US"/>
        </w:rPr>
      </w:pPr>
      <w:r>
        <w:rPr>
          <w:lang w:val="en-US"/>
        </w:rPr>
        <w:t>Cases are divided into a predefined number of clusters, then cases are reassigned in iterative steps until all observations are as close as possible to the cluster mean</w:t>
      </w:r>
    </w:p>
    <w:p w:rsidR="005617B0" w:rsidRDefault="005617B0" w:rsidP="005617B0">
      <w:pPr>
        <w:pStyle w:val="05Aufzhlungnummeriert"/>
        <w:rPr>
          <w:lang w:val="en-US"/>
        </w:rPr>
      </w:pPr>
      <w:r>
        <w:rPr>
          <w:lang w:val="en-US"/>
        </w:rPr>
        <w:t>3. (dis-)similarity measure</w:t>
      </w:r>
    </w:p>
    <w:p w:rsidR="00B07E57" w:rsidRDefault="004008ED" w:rsidP="00B07E57">
      <w:pPr>
        <w:pStyle w:val="05Aufzhlung"/>
        <w:rPr>
          <w:lang w:val="en-US"/>
        </w:rPr>
      </w:pPr>
      <w:r>
        <w:rPr>
          <w:lang w:val="en-US"/>
        </w:rPr>
        <w:t>Determines the distance between cases</w:t>
      </w:r>
    </w:p>
    <w:p w:rsidR="004008ED" w:rsidRPr="000855C3" w:rsidRDefault="004008ED" w:rsidP="00B07E57">
      <w:pPr>
        <w:pStyle w:val="05Aufzhlung"/>
        <w:rPr>
          <w:lang w:val="en-US"/>
        </w:rPr>
      </w:pPr>
      <w:r>
        <w:rPr>
          <w:lang w:val="en-US"/>
        </w:rPr>
        <w:t xml:space="preserve">For metric variables the most widely used dissimilarity measure is </w:t>
      </w:r>
      <w:r w:rsidRPr="004008ED">
        <w:rPr>
          <w:u w:val="single"/>
          <w:lang w:val="en-US"/>
        </w:rPr>
        <w:t>Euclidean distance</w:t>
      </w:r>
      <w:r w:rsidR="00203689">
        <w:rPr>
          <w:u w:val="single"/>
          <w:lang w:val="en-US"/>
        </w:rPr>
        <w:t xml:space="preserve"> </w:t>
      </w:r>
    </w:p>
    <w:p w:rsidR="000855C3" w:rsidRPr="00203689" w:rsidRDefault="000855C3" w:rsidP="00B07E57">
      <w:pPr>
        <w:pStyle w:val="05Aufzhlung"/>
        <w:rPr>
          <w:lang w:val="en-US"/>
        </w:rPr>
      </w:pPr>
      <w:r>
        <w:rPr>
          <w:lang w:val="en-US"/>
        </w:rPr>
        <w:t>Also commonly used in mixed-scale data</w:t>
      </w:r>
      <w:r w:rsidR="00203689">
        <w:rPr>
          <w:lang w:val="en-US"/>
        </w:rPr>
        <w:t xml:space="preserve"> </w:t>
      </w:r>
      <w:r w:rsidR="00203689" w:rsidRPr="00203689">
        <w:rPr>
          <w:b/>
          <w:bCs/>
          <w:lang w:val="en-US"/>
        </w:rPr>
        <w:t>(Source?)</w:t>
      </w:r>
    </w:p>
    <w:p w:rsidR="00203689" w:rsidRDefault="00203689" w:rsidP="00B07E57">
      <w:pPr>
        <w:pStyle w:val="05Aufzhlung"/>
        <w:rPr>
          <w:lang w:val="en-US"/>
        </w:rPr>
      </w:pPr>
      <w:r w:rsidRPr="00203689">
        <w:rPr>
          <w:bCs/>
          <w:lang w:val="en-US"/>
        </w:rPr>
        <w:t xml:space="preserve">Only available mixed-scale type coefficient: Gower’s dissimilarity index </w:t>
      </w:r>
      <w:r w:rsidRPr="00203689">
        <w:rPr>
          <w:b/>
          <w:bCs/>
          <w:lang w:val="en-US"/>
        </w:rPr>
        <w:t>(Source?)</w:t>
      </w:r>
    </w:p>
    <w:p w:rsidR="005617B0" w:rsidRDefault="005617B0" w:rsidP="005617B0">
      <w:pPr>
        <w:pStyle w:val="05Aufzhlungnummeriert"/>
        <w:rPr>
          <w:lang w:val="en-US"/>
        </w:rPr>
      </w:pPr>
      <w:r>
        <w:rPr>
          <w:lang w:val="en-US"/>
        </w:rPr>
        <w:t>4. linkage method</w:t>
      </w:r>
    </w:p>
    <w:p w:rsidR="00203689" w:rsidRDefault="00203689" w:rsidP="00203689">
      <w:pPr>
        <w:pStyle w:val="05Aufzhlung"/>
        <w:rPr>
          <w:lang w:val="en-US"/>
        </w:rPr>
      </w:pPr>
      <w:r>
        <w:rPr>
          <w:lang w:val="en-US"/>
        </w:rPr>
        <w:t>Which method?</w:t>
      </w:r>
    </w:p>
    <w:p w:rsidR="005617B0" w:rsidRDefault="005617B0" w:rsidP="005617B0">
      <w:pPr>
        <w:pStyle w:val="05Aufzhlungnummeriert"/>
        <w:rPr>
          <w:lang w:val="en-US"/>
        </w:rPr>
      </w:pPr>
      <w:r>
        <w:rPr>
          <w:lang w:val="en-US"/>
        </w:rPr>
        <w:t xml:space="preserve">5. </w:t>
      </w:r>
      <w:r w:rsidR="00E62ADF">
        <w:rPr>
          <w:lang w:val="en-US"/>
        </w:rPr>
        <w:t>N</w:t>
      </w:r>
      <w:r>
        <w:rPr>
          <w:lang w:val="en-US"/>
        </w:rPr>
        <w:t>umber of clusters</w:t>
      </w:r>
    </w:p>
    <w:p w:rsidR="00E62ADF" w:rsidRDefault="00E62ADF" w:rsidP="00E62ADF">
      <w:pPr>
        <w:pStyle w:val="05Aufzhlung"/>
        <w:rPr>
          <w:lang w:val="en-US"/>
        </w:rPr>
      </w:pPr>
      <w:r>
        <w:rPr>
          <w:lang w:val="en-US"/>
        </w:rPr>
        <w:t xml:space="preserve">Usually based on stopping rules and inspecting the </w:t>
      </w:r>
      <w:proofErr w:type="spellStart"/>
      <w:r>
        <w:rPr>
          <w:lang w:val="en-US"/>
        </w:rPr>
        <w:t>dendogramm</w:t>
      </w:r>
      <w:proofErr w:type="spellEnd"/>
    </w:p>
    <w:p w:rsidR="00E62ADF" w:rsidRPr="00E62ADF" w:rsidRDefault="00E62ADF" w:rsidP="00E62ADF">
      <w:pPr>
        <w:pStyle w:val="05Aufzhlung"/>
        <w:rPr>
          <w:lang w:val="en-US"/>
        </w:rPr>
      </w:pPr>
      <w:r>
        <w:rPr>
          <w:lang w:val="en-US"/>
        </w:rPr>
        <w:t xml:space="preserve">Large increases in the agglomeration coefficient signal the fact that very different clusters have been combined which could indicate a good stopping point </w:t>
      </w:r>
      <w:r w:rsidRPr="00E62ADF">
        <w:rPr>
          <w:b/>
          <w:bCs/>
          <w:lang w:val="en-US"/>
        </w:rPr>
        <w:t>(Source?)</w:t>
      </w:r>
    </w:p>
    <w:p w:rsidR="00E62ADF" w:rsidRDefault="00E62ADF" w:rsidP="00E62ADF">
      <w:pPr>
        <w:pStyle w:val="berschrift4"/>
        <w:rPr>
          <w:lang w:val="en-US"/>
        </w:rPr>
      </w:pPr>
      <w:r>
        <w:rPr>
          <w:lang w:val="en-US"/>
        </w:rPr>
        <w:t>Criticism</w:t>
      </w:r>
    </w:p>
    <w:p w:rsidR="00A27C03" w:rsidRDefault="00A27C03" w:rsidP="00A27C03">
      <w:pPr>
        <w:pStyle w:val="05Aufzhlung"/>
        <w:rPr>
          <w:lang w:val="en-US"/>
        </w:rPr>
      </w:pPr>
      <w:r>
        <w:rPr>
          <w:lang w:val="en-US"/>
        </w:rPr>
        <w:t>Findings depend on the type of decision made</w:t>
      </w:r>
    </w:p>
    <w:p w:rsidR="00A27C03" w:rsidRDefault="00A27C03" w:rsidP="00A27C03">
      <w:pPr>
        <w:pStyle w:val="05Aufzhlung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 findings will differ if the average distance (average linkage) vs. shortest (single linkage) is used</w:t>
      </w:r>
    </w:p>
    <w:p w:rsidR="00A27C03" w:rsidRDefault="00A27C03" w:rsidP="00A27C03">
      <w:pPr>
        <w:pStyle w:val="05Aufzhlung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led to a rather critical perspective towards cluster analysis </w:t>
      </w:r>
      <w:r w:rsidR="00384048" w:rsidRPr="00384048">
        <w:rPr>
          <w:lang w:val="en-US"/>
        </w:rPr>
        <w:t>(Fonseca 2013)</w:t>
      </w:r>
    </w:p>
    <w:p w:rsidR="00A27C03" w:rsidRDefault="00A27C03" w:rsidP="00A27C03">
      <w:pPr>
        <w:pStyle w:val="05Aufzhlung"/>
        <w:rPr>
          <w:lang w:val="en-US"/>
        </w:rPr>
      </w:pPr>
      <w:r w:rsidRPr="00A27C03">
        <w:rPr>
          <w:lang w:val="en-US"/>
        </w:rPr>
        <w:t xml:space="preserve">However, the variation also just reflects the fact that there are different ways of looking at a specific dataset in terms of cluster groupings. Most studies present one or </w:t>
      </w:r>
      <w:r w:rsidRPr="00A27C03">
        <w:rPr>
          <w:lang w:val="en-US"/>
        </w:rPr>
        <w:lastRenderedPageBreak/>
        <w:t>two cluster solutions with a specific set of standardization, clustering method, algorithm, and measure that</w:t>
      </w:r>
      <w:r w:rsidR="00CA6F7A">
        <w:rPr>
          <w:lang w:val="en-US"/>
        </w:rPr>
        <w:t xml:space="preserve"> </w:t>
      </w:r>
      <w:r w:rsidRPr="00A27C03">
        <w:rPr>
          <w:lang w:val="en-US"/>
        </w:rPr>
        <w:t xml:space="preserve">follow mostly previous work </w:t>
      </w:r>
      <w:r w:rsidR="00384048">
        <w:rPr>
          <w:lang w:val="en-US"/>
        </w:rPr>
        <w:t>(Reibling 2010; Wendt 2009; Minas et al. 2014)</w:t>
      </w:r>
      <w:r w:rsidRPr="00A27C03">
        <w:rPr>
          <w:lang w:val="en-US"/>
        </w:rPr>
        <w:t xml:space="preserve"> because “statistical properties of these methods are generally unknown” </w:t>
      </w:r>
      <w:r w:rsidR="00384048">
        <w:rPr>
          <w:lang w:val="en-US"/>
        </w:rPr>
        <w:t>(</w:t>
      </w:r>
      <w:r w:rsidR="00384048" w:rsidRPr="00384048">
        <w:rPr>
          <w:lang w:val="en-US"/>
        </w:rPr>
        <w:t>Fonseca 2013</w:t>
      </w:r>
      <w:r w:rsidRPr="00A27C03">
        <w:rPr>
          <w:lang w:val="en-US"/>
        </w:rPr>
        <w:t>: 406</w:t>
      </w:r>
      <w:r w:rsidR="00384048">
        <w:rPr>
          <w:lang w:val="en-US"/>
        </w:rPr>
        <w:t>)</w:t>
      </w:r>
    </w:p>
    <w:p w:rsidR="0058557B" w:rsidRDefault="0058557B" w:rsidP="0058557B">
      <w:pPr>
        <w:pStyle w:val="berschrift4"/>
        <w:rPr>
          <w:lang w:val="en-US"/>
        </w:rPr>
      </w:pPr>
      <w:r>
        <w:rPr>
          <w:lang w:val="en-US"/>
        </w:rPr>
        <w:t>Solution</w:t>
      </w:r>
    </w:p>
    <w:p w:rsidR="0058557B" w:rsidRDefault="0058557B" w:rsidP="00387EB1">
      <w:pPr>
        <w:pStyle w:val="05Aufzhlung"/>
        <w:numPr>
          <w:ilvl w:val="0"/>
          <w:numId w:val="0"/>
        </w:numPr>
        <w:ind w:left="360"/>
        <w:rPr>
          <w:lang w:val="en-US"/>
        </w:rPr>
      </w:pPr>
      <w:r w:rsidRPr="0058557B">
        <w:rPr>
          <w:lang w:val="en-US"/>
        </w:rPr>
        <w:t xml:space="preserve">In this study, we instead propose conducting a </w:t>
      </w:r>
      <w:r w:rsidRPr="00387EB1">
        <w:rPr>
          <w:u w:val="single"/>
          <w:lang w:val="en-US"/>
        </w:rPr>
        <w:t>larger number of cluster analyses</w:t>
      </w:r>
      <w:r w:rsidRPr="0058557B">
        <w:rPr>
          <w:lang w:val="en-US"/>
        </w:rPr>
        <w:t xml:space="preserve"> and using </w:t>
      </w:r>
      <w:r w:rsidRPr="00387EB1">
        <w:rPr>
          <w:u w:val="single"/>
          <w:lang w:val="en-US"/>
        </w:rPr>
        <w:t>the variability across the results as a measure of confidence</w:t>
      </w:r>
      <w:r w:rsidRPr="0058557B">
        <w:rPr>
          <w:lang w:val="en-US"/>
        </w:rPr>
        <w:t xml:space="preserve"> about the membership of two observations in one cluster</w:t>
      </w:r>
    </w:p>
    <w:p w:rsidR="0058557B" w:rsidRDefault="0058557B" w:rsidP="00A27C03">
      <w:pPr>
        <w:pStyle w:val="05Aufzhlung"/>
        <w:rPr>
          <w:lang w:val="en-US"/>
        </w:rPr>
      </w:pPr>
      <w:r>
        <w:rPr>
          <w:lang w:val="en-US"/>
        </w:rPr>
        <w:t xml:space="preserve">Step I: </w:t>
      </w:r>
      <w:r w:rsidRPr="0058557B">
        <w:rPr>
          <w:lang w:val="en-US"/>
        </w:rPr>
        <w:t>We thus conducted cluster analyses with</w:t>
      </w:r>
    </w:p>
    <w:p w:rsidR="0058557B" w:rsidRDefault="0058557B" w:rsidP="0058557B">
      <w:pPr>
        <w:pStyle w:val="05Aufzhlung"/>
        <w:numPr>
          <w:ilvl w:val="0"/>
          <w:numId w:val="0"/>
        </w:numPr>
        <w:ind w:left="1440"/>
        <w:rPr>
          <w:lang w:val="en-US"/>
        </w:rPr>
      </w:pPr>
      <w:r w:rsidRPr="0058557B">
        <w:rPr>
          <w:lang w:val="en-US"/>
        </w:rPr>
        <w:t>(1) both z- and range-standardized variables</w:t>
      </w:r>
    </w:p>
    <w:p w:rsidR="0058557B" w:rsidRDefault="0058557B" w:rsidP="0058557B">
      <w:pPr>
        <w:pStyle w:val="05Aufzhlung"/>
        <w:numPr>
          <w:ilvl w:val="0"/>
          <w:numId w:val="0"/>
        </w:numPr>
        <w:ind w:left="1440"/>
        <w:rPr>
          <w:lang w:val="en-US"/>
        </w:rPr>
      </w:pPr>
      <w:r w:rsidRPr="0058557B">
        <w:rPr>
          <w:lang w:val="en-US"/>
        </w:rPr>
        <w:t>(2) Gower and</w:t>
      </w:r>
      <w:r>
        <w:rPr>
          <w:lang w:val="en-US"/>
        </w:rPr>
        <w:t xml:space="preserve"> </w:t>
      </w:r>
      <w:r w:rsidRPr="0058557B">
        <w:rPr>
          <w:lang w:val="en-US"/>
        </w:rPr>
        <w:t>squared Euclidean distance as dissimilarity measures</w:t>
      </w:r>
    </w:p>
    <w:p w:rsidR="0058557B" w:rsidRDefault="0058557B" w:rsidP="0058557B">
      <w:pPr>
        <w:pStyle w:val="05Aufzhlung"/>
        <w:numPr>
          <w:ilvl w:val="0"/>
          <w:numId w:val="0"/>
        </w:numPr>
        <w:ind w:left="1440"/>
        <w:rPr>
          <w:lang w:val="en-US"/>
        </w:rPr>
      </w:pPr>
      <w:r w:rsidRPr="0058557B">
        <w:rPr>
          <w:lang w:val="en-US"/>
        </w:rPr>
        <w:t>(3) hierarchical, agglomerative cluster and k-means partitioning analysis</w:t>
      </w:r>
    </w:p>
    <w:p w:rsidR="0058557B" w:rsidRDefault="0058557B" w:rsidP="0058557B">
      <w:pPr>
        <w:pStyle w:val="05Aufzhlung"/>
        <w:numPr>
          <w:ilvl w:val="0"/>
          <w:numId w:val="0"/>
        </w:numPr>
        <w:ind w:left="1440"/>
        <w:rPr>
          <w:lang w:val="en-US"/>
        </w:rPr>
      </w:pPr>
      <w:r w:rsidRPr="0058557B">
        <w:rPr>
          <w:lang w:val="en-US"/>
        </w:rPr>
        <w:t>(4) average and Wards algorithms for hierarchical, agglomerative cluster analysis</w:t>
      </w:r>
    </w:p>
    <w:p w:rsidR="0058557B" w:rsidRDefault="0058557B" w:rsidP="0058557B">
      <w:pPr>
        <w:pStyle w:val="05Aufzhlung"/>
        <w:numPr>
          <w:ilvl w:val="0"/>
          <w:numId w:val="0"/>
        </w:numPr>
        <w:ind w:left="1440"/>
        <w:rPr>
          <w:lang w:val="en-US"/>
        </w:rPr>
      </w:pPr>
      <w:r w:rsidRPr="0058557B">
        <w:rPr>
          <w:lang w:val="en-US"/>
        </w:rPr>
        <w:t>(5) we selected the first- and</w:t>
      </w:r>
      <w:r>
        <w:rPr>
          <w:lang w:val="en-US"/>
        </w:rPr>
        <w:t xml:space="preserve"> </w:t>
      </w:r>
      <w:r w:rsidRPr="0058557B">
        <w:rPr>
          <w:lang w:val="en-US"/>
        </w:rPr>
        <w:t xml:space="preserve">the second-best result for each analysis as suggested by </w:t>
      </w:r>
      <w:proofErr w:type="spellStart"/>
      <w:r w:rsidR="00952F20" w:rsidRPr="00952F20">
        <w:t>Calinski-Harabasz</w:t>
      </w:r>
      <w:proofErr w:type="spellEnd"/>
      <w:r w:rsidR="00952F20" w:rsidRPr="00952F20">
        <w:t xml:space="preserve"> and Duda-Hart </w:t>
      </w:r>
      <w:proofErr w:type="spellStart"/>
      <w:r w:rsidR="00952F20" w:rsidRPr="00952F20">
        <w:t>indices</w:t>
      </w:r>
      <w:proofErr w:type="spellEnd"/>
      <w:r w:rsidR="00952F20" w:rsidRPr="00952F20">
        <w:rPr>
          <w:lang w:val="en-US"/>
        </w:rPr>
        <w:t xml:space="preserve"> </w:t>
      </w:r>
      <w:r w:rsidR="00952F20">
        <w:rPr>
          <w:lang w:val="en-US"/>
        </w:rPr>
        <w:t xml:space="preserve">&amp; </w:t>
      </w:r>
      <w:r w:rsidRPr="0058557B">
        <w:rPr>
          <w:lang w:val="en-US"/>
        </w:rPr>
        <w:t>stopping rule and the dendrogra</w:t>
      </w:r>
      <w:r>
        <w:rPr>
          <w:lang w:val="en-US"/>
        </w:rPr>
        <w:t>m</w:t>
      </w:r>
    </w:p>
    <w:p w:rsidR="0058557B" w:rsidRDefault="0058557B" w:rsidP="0058557B">
      <w:pPr>
        <w:pStyle w:val="05Aufzhlung"/>
        <w:rPr>
          <w:lang w:val="en-US"/>
        </w:rPr>
      </w:pPr>
      <w:r>
        <w:rPr>
          <w:lang w:val="en-US"/>
        </w:rPr>
        <w:t xml:space="preserve">Step II: </w:t>
      </w:r>
      <w:r w:rsidRPr="0058557B">
        <w:rPr>
          <w:lang w:val="en-US"/>
        </w:rPr>
        <w:t>Based on the 24 cluster results, we calculated how often each</w:t>
      </w:r>
      <w:r>
        <w:rPr>
          <w:lang w:val="en-US"/>
        </w:rPr>
        <w:t xml:space="preserve"> </w:t>
      </w:r>
      <w:r w:rsidRPr="0058557B">
        <w:rPr>
          <w:lang w:val="en-US"/>
        </w:rPr>
        <w:t>country is in the same cluster with every other country (measured</w:t>
      </w:r>
      <w:r>
        <w:rPr>
          <w:lang w:val="en-US"/>
        </w:rPr>
        <w:t xml:space="preserve"> </w:t>
      </w:r>
      <w:r w:rsidRPr="0058557B">
        <w:rPr>
          <w:lang w:val="en-US"/>
        </w:rPr>
        <w:t>as a percentage). Results from hierarchical cluster analyses (16) and</w:t>
      </w:r>
      <w:r>
        <w:rPr>
          <w:lang w:val="en-US"/>
        </w:rPr>
        <w:t xml:space="preserve"> </w:t>
      </w:r>
      <w:r w:rsidRPr="0058557B">
        <w:rPr>
          <w:lang w:val="en-US"/>
        </w:rPr>
        <w:t xml:space="preserve">k-means cluster analyses (8) each go equally into </w:t>
      </w:r>
      <w:proofErr w:type="gramStart"/>
      <w:r w:rsidRPr="0058557B">
        <w:rPr>
          <w:lang w:val="en-US"/>
        </w:rPr>
        <w:t>the final result</w:t>
      </w:r>
      <w:proofErr w:type="gramEnd"/>
      <w:r w:rsidRPr="0058557B">
        <w:rPr>
          <w:lang w:val="en-US"/>
        </w:rPr>
        <w:t>.</w:t>
      </w:r>
      <w:r>
        <w:rPr>
          <w:lang w:val="en-US"/>
        </w:rPr>
        <w:t xml:space="preserve"> </w:t>
      </w:r>
      <w:r w:rsidRPr="0058557B">
        <w:rPr>
          <w:lang w:val="en-US"/>
        </w:rPr>
        <w:t>The resulting network matrix indicates cluster strength. We set</w:t>
      </w:r>
      <w:r>
        <w:rPr>
          <w:lang w:val="en-US"/>
        </w:rPr>
        <w:t xml:space="preserve"> </w:t>
      </w:r>
      <w:r w:rsidRPr="0058557B">
        <w:rPr>
          <w:lang w:val="en-US"/>
        </w:rPr>
        <w:t>benchmarks to account for different degrees of membership in a</w:t>
      </w:r>
      <w:r>
        <w:rPr>
          <w:lang w:val="en-US"/>
        </w:rPr>
        <w:t xml:space="preserve"> </w:t>
      </w:r>
      <w:r w:rsidRPr="0058557B">
        <w:rPr>
          <w:lang w:val="en-US"/>
        </w:rPr>
        <w:t xml:space="preserve">cluster: </w:t>
      </w:r>
    </w:p>
    <w:p w:rsidR="0058557B" w:rsidRDefault="0058557B" w:rsidP="0058557B">
      <w:pPr>
        <w:pStyle w:val="05Aufzhlung"/>
        <w:numPr>
          <w:ilvl w:val="1"/>
          <w:numId w:val="3"/>
        </w:numPr>
        <w:rPr>
          <w:lang w:val="en-US"/>
        </w:rPr>
      </w:pPr>
      <w:r w:rsidRPr="0058557B">
        <w:rPr>
          <w:lang w:val="en-US"/>
        </w:rPr>
        <w:t xml:space="preserve">full membership (≥66%) </w:t>
      </w:r>
      <w:r>
        <w:rPr>
          <w:lang w:val="en-US"/>
        </w:rPr>
        <w:t xml:space="preserve">and </w:t>
      </w:r>
    </w:p>
    <w:p w:rsidR="00B17CDD" w:rsidRDefault="0058557B" w:rsidP="0058557B">
      <w:pPr>
        <w:pStyle w:val="05Aufzhlung"/>
        <w:numPr>
          <w:ilvl w:val="1"/>
          <w:numId w:val="3"/>
        </w:numPr>
        <w:rPr>
          <w:lang w:val="en-US"/>
        </w:rPr>
        <w:sectPr w:rsidR="00B17CD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8557B">
        <w:rPr>
          <w:lang w:val="en-US"/>
        </w:rPr>
        <w:t>partial membership (≥50%</w:t>
      </w:r>
    </w:p>
    <w:p w:rsidR="00E66FA4" w:rsidRDefault="00E66FA4" w:rsidP="001B5BE1">
      <w:pPr>
        <w:pStyle w:val="berschrift2"/>
        <w:rPr>
          <w:lang w:val="en-US"/>
        </w:rPr>
      </w:pPr>
      <w:r>
        <w:rPr>
          <w:lang w:val="en-US"/>
        </w:rPr>
        <w:lastRenderedPageBreak/>
        <w:t>Results</w:t>
      </w:r>
    </w:p>
    <w:p w:rsidR="00B73392" w:rsidRDefault="00B73392" w:rsidP="00B73392">
      <w:pPr>
        <w:pStyle w:val="02Flietext"/>
        <w:rPr>
          <w:lang w:val="en-US"/>
        </w:rPr>
      </w:pPr>
      <w:r>
        <w:rPr>
          <w:noProof/>
        </w:rPr>
        <w:drawing>
          <wp:inline distT="0" distB="0" distL="0" distR="0" wp14:anchorId="4DD89D03" wp14:editId="2B439945">
            <wp:extent cx="5760720" cy="34207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34" w:rsidRPr="005A6734" w:rsidRDefault="005A6734" w:rsidP="005A6734">
      <w:pPr>
        <w:pStyle w:val="05Aufzhlung"/>
        <w:rPr>
          <w:lang w:val="en-US"/>
        </w:rPr>
      </w:pPr>
      <w:r w:rsidRPr="005A6734">
        <w:rPr>
          <w:lang w:val="en-US"/>
        </w:rPr>
        <w:t>Fig. 1 depicts the existing clusters that illustrates all link &gt;= .5</w:t>
      </w:r>
      <w:r>
        <w:rPr>
          <w:lang w:val="en-US"/>
        </w:rPr>
        <w:t xml:space="preserve"> </w:t>
      </w:r>
      <w:r w:rsidRPr="005A6734">
        <w:rPr>
          <w:lang w:val="en-US"/>
        </w:rPr>
        <w:t>and was generated using UCINET6/</w:t>
      </w:r>
      <w:proofErr w:type="spellStart"/>
      <w:r w:rsidRPr="005A6734">
        <w:rPr>
          <w:lang w:val="en-US"/>
        </w:rPr>
        <w:t>Netdraw</w:t>
      </w:r>
      <w:proofErr w:type="spellEnd"/>
      <w:r w:rsidRPr="005A6734">
        <w:rPr>
          <w:lang w:val="en-US"/>
        </w:rPr>
        <w:t xml:space="preserve"> (</w:t>
      </w:r>
      <w:proofErr w:type="spellStart"/>
      <w:r w:rsidRPr="005A6734">
        <w:rPr>
          <w:lang w:val="en-US"/>
        </w:rPr>
        <w:t>Borgatti</w:t>
      </w:r>
      <w:proofErr w:type="spellEnd"/>
      <w:r w:rsidRPr="005A6734">
        <w:rPr>
          <w:lang w:val="en-US"/>
        </w:rPr>
        <w:t xml:space="preserve"> 2002a; </w:t>
      </w:r>
      <w:proofErr w:type="spellStart"/>
      <w:r w:rsidRPr="005A6734">
        <w:rPr>
          <w:lang w:val="en-US"/>
        </w:rPr>
        <w:t>Borgatti</w:t>
      </w:r>
      <w:proofErr w:type="spellEnd"/>
      <w:r w:rsidRPr="005A6734">
        <w:rPr>
          <w:lang w:val="en-US"/>
        </w:rPr>
        <w:t xml:space="preserve"> 2002b)</w:t>
      </w:r>
    </w:p>
    <w:p w:rsidR="005A6734" w:rsidRDefault="005A6734" w:rsidP="005A6734">
      <w:pPr>
        <w:pStyle w:val="05Aufzhlung"/>
        <w:numPr>
          <w:ilvl w:val="0"/>
          <w:numId w:val="0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733DA4" wp14:editId="30B15A70">
            <wp:extent cx="9048750" cy="3941872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8282" cy="39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E1" w:rsidRPr="00B73392" w:rsidRDefault="005A6734" w:rsidP="001B5BE1">
      <w:pPr>
        <w:pStyle w:val="05Aufzhlung"/>
        <w:numPr>
          <w:ilvl w:val="0"/>
          <w:numId w:val="0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BFEA6C" wp14:editId="7F754129">
            <wp:extent cx="9034339" cy="3238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6655" cy="32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B5BE1" w:rsidRPr="00B73392" w:rsidSect="001B5BE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64A88"/>
    <w:multiLevelType w:val="multilevel"/>
    <w:tmpl w:val="0BE46E78"/>
    <w:styleLink w:val="Nummerierung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1" w15:restartNumberingAfterBreak="0">
    <w:nsid w:val="4D7D0B61"/>
    <w:multiLevelType w:val="hybridMultilevel"/>
    <w:tmpl w:val="B06A3E00"/>
    <w:lvl w:ilvl="0" w:tplc="004CC032">
      <w:numFmt w:val="bullet"/>
      <w:pStyle w:val="05Aufzhlung"/>
      <w:lvlText w:val="–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55836"/>
    <w:multiLevelType w:val="hybridMultilevel"/>
    <w:tmpl w:val="C0F2BA5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24463"/>
    <w:multiLevelType w:val="hybridMultilevel"/>
    <w:tmpl w:val="86DC4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7BB5"/>
    <w:multiLevelType w:val="hybridMultilevel"/>
    <w:tmpl w:val="591E7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04F7"/>
    <w:rsid w:val="000157AC"/>
    <w:rsid w:val="00041B70"/>
    <w:rsid w:val="000604F7"/>
    <w:rsid w:val="000605C9"/>
    <w:rsid w:val="0007359D"/>
    <w:rsid w:val="000779F7"/>
    <w:rsid w:val="000855C3"/>
    <w:rsid w:val="000E3777"/>
    <w:rsid w:val="000F7D33"/>
    <w:rsid w:val="001B5BE1"/>
    <w:rsid w:val="001F69ED"/>
    <w:rsid w:val="00203689"/>
    <w:rsid w:val="00234DB1"/>
    <w:rsid w:val="002761BC"/>
    <w:rsid w:val="00384048"/>
    <w:rsid w:val="00387EB1"/>
    <w:rsid w:val="003D764D"/>
    <w:rsid w:val="004008ED"/>
    <w:rsid w:val="004049BC"/>
    <w:rsid w:val="00412702"/>
    <w:rsid w:val="00433845"/>
    <w:rsid w:val="00462285"/>
    <w:rsid w:val="004C012D"/>
    <w:rsid w:val="004D5112"/>
    <w:rsid w:val="0050311A"/>
    <w:rsid w:val="00512A00"/>
    <w:rsid w:val="005617B0"/>
    <w:rsid w:val="0058557B"/>
    <w:rsid w:val="005A6734"/>
    <w:rsid w:val="005B04C7"/>
    <w:rsid w:val="005C7DF3"/>
    <w:rsid w:val="005E61EF"/>
    <w:rsid w:val="00622D9F"/>
    <w:rsid w:val="00625732"/>
    <w:rsid w:val="00662AB2"/>
    <w:rsid w:val="006A193D"/>
    <w:rsid w:val="006B51AD"/>
    <w:rsid w:val="006E6B38"/>
    <w:rsid w:val="00715F46"/>
    <w:rsid w:val="0076598C"/>
    <w:rsid w:val="007C285D"/>
    <w:rsid w:val="007D0FC8"/>
    <w:rsid w:val="008316D2"/>
    <w:rsid w:val="00905D89"/>
    <w:rsid w:val="00916343"/>
    <w:rsid w:val="00952F20"/>
    <w:rsid w:val="009D3E94"/>
    <w:rsid w:val="00A145CA"/>
    <w:rsid w:val="00A27C03"/>
    <w:rsid w:val="00A71AD8"/>
    <w:rsid w:val="00A87528"/>
    <w:rsid w:val="00AB5F8F"/>
    <w:rsid w:val="00AF15CD"/>
    <w:rsid w:val="00B07E57"/>
    <w:rsid w:val="00B17CDD"/>
    <w:rsid w:val="00B57886"/>
    <w:rsid w:val="00B606C6"/>
    <w:rsid w:val="00B672AF"/>
    <w:rsid w:val="00B73392"/>
    <w:rsid w:val="00C11A23"/>
    <w:rsid w:val="00CA6F7A"/>
    <w:rsid w:val="00CB626E"/>
    <w:rsid w:val="00D70DF6"/>
    <w:rsid w:val="00D75B08"/>
    <w:rsid w:val="00E10271"/>
    <w:rsid w:val="00E52213"/>
    <w:rsid w:val="00E61C50"/>
    <w:rsid w:val="00E62ADF"/>
    <w:rsid w:val="00E66FA4"/>
    <w:rsid w:val="00E67629"/>
    <w:rsid w:val="00EC3374"/>
    <w:rsid w:val="00EF4F9C"/>
    <w:rsid w:val="00F2192B"/>
    <w:rsid w:val="00F9448C"/>
    <w:rsid w:val="00FB2862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C1FF"/>
  <w15:chartTrackingRefBased/>
  <w15:docId w15:val="{D9E1F4D9-4454-4FA2-8769-93E667F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 w:qFormat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locked="0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06C6"/>
    <w:pPr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B606C6"/>
    <w:pPr>
      <w:keepNext/>
      <w:keepLines/>
      <w:tabs>
        <w:tab w:val="left" w:pos="709"/>
      </w:tabs>
      <w:suppressAutoHyphens/>
      <w:spacing w:after="720" w:line="288" w:lineRule="auto"/>
      <w:ind w:left="709" w:right="1134" w:hanging="709"/>
      <w:outlineLvl w:val="0"/>
    </w:pPr>
    <w:rPr>
      <w:rFonts w:eastAsia="Times New Roman"/>
      <w:bCs/>
      <w:sz w:val="36"/>
      <w:szCs w:val="28"/>
    </w:rPr>
  </w:style>
  <w:style w:type="paragraph" w:styleId="berschrift2">
    <w:name w:val="heading 2"/>
    <w:basedOn w:val="Standard"/>
    <w:next w:val="02Flietext"/>
    <w:link w:val="berschrift2Zchn"/>
    <w:uiPriority w:val="9"/>
    <w:unhideWhenUsed/>
    <w:qFormat/>
    <w:rsid w:val="00B606C6"/>
    <w:pPr>
      <w:keepNext/>
      <w:keepLines/>
      <w:tabs>
        <w:tab w:val="left" w:pos="709"/>
      </w:tabs>
      <w:suppressAutoHyphens/>
      <w:spacing w:before="672" w:after="336" w:line="288" w:lineRule="auto"/>
      <w:ind w:left="709" w:right="1134" w:hanging="709"/>
      <w:outlineLvl w:val="1"/>
    </w:pPr>
    <w:rPr>
      <w:rFonts w:eastAsia="Times New Roman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06C6"/>
    <w:pPr>
      <w:keepNext/>
      <w:keepLines/>
      <w:tabs>
        <w:tab w:val="left" w:pos="709"/>
      </w:tabs>
      <w:suppressAutoHyphens/>
      <w:spacing w:before="576" w:after="288" w:line="288" w:lineRule="auto"/>
      <w:ind w:left="709" w:right="1134" w:hanging="709"/>
      <w:outlineLvl w:val="2"/>
    </w:pPr>
    <w:rPr>
      <w:rFonts w:eastAsia="Times New Roman"/>
    </w:rPr>
  </w:style>
  <w:style w:type="paragraph" w:styleId="berschrift4">
    <w:name w:val="heading 4"/>
    <w:basedOn w:val="Standard"/>
    <w:next w:val="02Flietext"/>
    <w:link w:val="berschrift4Zchn"/>
    <w:uiPriority w:val="9"/>
    <w:unhideWhenUsed/>
    <w:qFormat/>
    <w:rsid w:val="00B606C6"/>
    <w:pPr>
      <w:keepNext/>
      <w:keepLines/>
      <w:tabs>
        <w:tab w:val="left" w:pos="709"/>
      </w:tabs>
      <w:suppressAutoHyphens/>
      <w:spacing w:before="288" w:line="288" w:lineRule="auto"/>
      <w:ind w:left="709" w:right="1134" w:hanging="709"/>
      <w:outlineLvl w:val="3"/>
    </w:pPr>
    <w:rPr>
      <w:rFonts w:eastAsia="Times New Roman"/>
      <w:color w:val="auto"/>
    </w:rPr>
  </w:style>
  <w:style w:type="paragraph" w:styleId="berschrift5">
    <w:name w:val="heading 5"/>
    <w:basedOn w:val="Standard"/>
    <w:next w:val="02Flietext"/>
    <w:link w:val="berschrift5Zchn"/>
    <w:uiPriority w:val="9"/>
    <w:unhideWhenUsed/>
    <w:rsid w:val="00B606C6"/>
    <w:pPr>
      <w:keepNext/>
      <w:keepLines/>
      <w:tabs>
        <w:tab w:val="left" w:pos="993"/>
      </w:tabs>
      <w:suppressAutoHyphens/>
      <w:spacing w:before="288" w:line="288" w:lineRule="auto"/>
      <w:ind w:left="992" w:right="1134" w:hanging="992"/>
      <w:outlineLvl w:val="4"/>
    </w:pPr>
    <w:rPr>
      <w:rFonts w:eastAsia="Times New Roman"/>
      <w:i/>
      <w:color w:val="auto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606C6"/>
    <w:pPr>
      <w:keepNext/>
      <w:keepLines/>
      <w:tabs>
        <w:tab w:val="left" w:pos="993"/>
      </w:tabs>
      <w:suppressAutoHyphens/>
      <w:spacing w:before="288" w:line="288" w:lineRule="auto"/>
      <w:ind w:left="992" w:right="1134" w:hanging="992"/>
      <w:outlineLvl w:val="5"/>
    </w:pPr>
    <w:rPr>
      <w:rFonts w:eastAsia="Times New Roman"/>
      <w:i/>
      <w:iCs/>
      <w:color w:val="auto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606C6"/>
    <w:pPr>
      <w:keepNext/>
      <w:keepLines/>
      <w:tabs>
        <w:tab w:val="left" w:pos="993"/>
      </w:tabs>
      <w:suppressAutoHyphens/>
      <w:spacing w:before="288" w:line="288" w:lineRule="auto"/>
      <w:ind w:left="992" w:hanging="992"/>
      <w:outlineLvl w:val="6"/>
    </w:pPr>
    <w:rPr>
      <w:rFonts w:eastAsia="Times New Roman"/>
      <w:i/>
      <w:iCs/>
      <w:color w:val="auto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606C6"/>
    <w:pPr>
      <w:keepNext/>
      <w:keepLines/>
      <w:tabs>
        <w:tab w:val="left" w:pos="993"/>
      </w:tabs>
      <w:suppressAutoHyphens/>
      <w:spacing w:before="288" w:line="288" w:lineRule="auto"/>
      <w:ind w:left="992" w:hanging="992"/>
      <w:outlineLvl w:val="7"/>
    </w:pPr>
    <w:rPr>
      <w:rFonts w:eastAsia="Times New Roman"/>
      <w:i/>
      <w:iCs/>
      <w:color w:val="auto"/>
      <w:szCs w:val="24"/>
    </w:rPr>
  </w:style>
  <w:style w:type="paragraph" w:styleId="berschrift9">
    <w:name w:val="heading 9"/>
    <w:basedOn w:val="Standard"/>
    <w:next w:val="02Flietext"/>
    <w:link w:val="berschrift9Zchn"/>
    <w:uiPriority w:val="9"/>
    <w:unhideWhenUsed/>
    <w:qFormat/>
    <w:rsid w:val="00B606C6"/>
    <w:pPr>
      <w:keepNext/>
      <w:keepLines/>
      <w:tabs>
        <w:tab w:val="left" w:pos="993"/>
      </w:tabs>
      <w:suppressAutoHyphens/>
      <w:spacing w:before="288" w:line="288" w:lineRule="auto"/>
      <w:outlineLvl w:val="8"/>
    </w:pPr>
    <w:rPr>
      <w:rFonts w:eastAsia="Times New Roman"/>
      <w:i/>
      <w:iCs/>
      <w:color w:val="auto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1TitelAutor">
    <w:name w:val="01 Titel Autor"/>
    <w:basedOn w:val="Standard"/>
    <w:rsid w:val="00B606C6"/>
    <w:pPr>
      <w:spacing w:before="1800" w:line="288" w:lineRule="auto"/>
      <w:jc w:val="center"/>
    </w:pPr>
  </w:style>
  <w:style w:type="paragraph" w:customStyle="1" w:styleId="01TitelBeschreibung">
    <w:name w:val="01 Titel Beschreibung"/>
    <w:basedOn w:val="Standard"/>
    <w:rsid w:val="00B606C6"/>
    <w:pPr>
      <w:spacing w:line="288" w:lineRule="auto"/>
      <w:jc w:val="center"/>
    </w:pPr>
  </w:style>
  <w:style w:type="paragraph" w:customStyle="1" w:styleId="01TitelTabelle">
    <w:name w:val="01 Titel Tabelle"/>
    <w:basedOn w:val="Standard"/>
    <w:rsid w:val="00B606C6"/>
    <w:pPr>
      <w:spacing w:line="288" w:lineRule="auto"/>
    </w:pPr>
    <w:rPr>
      <w:szCs w:val="24"/>
    </w:rPr>
  </w:style>
  <w:style w:type="paragraph" w:customStyle="1" w:styleId="01TitelTitel">
    <w:name w:val="01 Titel Titel"/>
    <w:basedOn w:val="Standard"/>
    <w:rsid w:val="00B606C6"/>
    <w:pPr>
      <w:spacing w:line="288" w:lineRule="auto"/>
      <w:jc w:val="center"/>
    </w:pPr>
    <w:rPr>
      <w:sz w:val="48"/>
      <w:szCs w:val="48"/>
    </w:rPr>
  </w:style>
  <w:style w:type="paragraph" w:customStyle="1" w:styleId="01TitelUntertitel">
    <w:name w:val="01 Titel Untertitel"/>
    <w:basedOn w:val="Standard"/>
    <w:rsid w:val="00B606C6"/>
    <w:pPr>
      <w:spacing w:after="1080" w:line="288" w:lineRule="auto"/>
      <w:jc w:val="center"/>
    </w:pPr>
  </w:style>
  <w:style w:type="paragraph" w:customStyle="1" w:styleId="02Flietext">
    <w:name w:val="02 Fließtext"/>
    <w:basedOn w:val="Standard"/>
    <w:qFormat/>
    <w:rsid w:val="00B606C6"/>
    <w:pPr>
      <w:spacing w:after="180" w:line="360" w:lineRule="auto"/>
      <w:jc w:val="both"/>
    </w:pPr>
  </w:style>
  <w:style w:type="paragraph" w:customStyle="1" w:styleId="02FlietextEinzug">
    <w:name w:val="02 Fließtext Einzug"/>
    <w:basedOn w:val="Standard"/>
    <w:qFormat/>
    <w:rsid w:val="00B606C6"/>
    <w:pPr>
      <w:spacing w:line="360" w:lineRule="auto"/>
      <w:ind w:firstLine="284"/>
      <w:jc w:val="both"/>
    </w:pPr>
  </w:style>
  <w:style w:type="paragraph" w:customStyle="1" w:styleId="02FlietextErsterAbsatz">
    <w:name w:val="02 Fließtext Erster Absatz"/>
    <w:basedOn w:val="02FlietextEinzug"/>
    <w:qFormat/>
    <w:rsid w:val="00B606C6"/>
    <w:pPr>
      <w:ind w:firstLine="0"/>
    </w:pPr>
  </w:style>
  <w:style w:type="paragraph" w:customStyle="1" w:styleId="03Abbildung">
    <w:name w:val="03 Abbildung"/>
    <w:basedOn w:val="Standard"/>
    <w:next w:val="Beschriftung"/>
    <w:qFormat/>
    <w:rsid w:val="00B606C6"/>
    <w:pPr>
      <w:keepNext/>
      <w:spacing w:before="360"/>
      <w:jc w:val="center"/>
    </w:pPr>
    <w:rPr>
      <w:noProof/>
      <w:lang w:eastAsia="de-DE"/>
    </w:rPr>
  </w:style>
  <w:style w:type="paragraph" w:styleId="Beschriftung">
    <w:name w:val="caption"/>
    <w:basedOn w:val="Standard"/>
    <w:next w:val="02Flietext"/>
    <w:uiPriority w:val="35"/>
    <w:unhideWhenUsed/>
    <w:qFormat/>
    <w:rsid w:val="00B606C6"/>
    <w:pPr>
      <w:spacing w:before="288" w:after="576" w:line="288" w:lineRule="auto"/>
      <w:jc w:val="center"/>
    </w:pPr>
    <w:rPr>
      <w:color w:val="auto"/>
      <w:sz w:val="20"/>
      <w:szCs w:val="20"/>
    </w:rPr>
  </w:style>
  <w:style w:type="paragraph" w:customStyle="1" w:styleId="03TabelleText10pt">
    <w:name w:val="03 Tabelle Text 10pt"/>
    <w:basedOn w:val="02Flietext"/>
    <w:qFormat/>
    <w:rsid w:val="00B606C6"/>
    <w:pPr>
      <w:spacing w:before="72" w:after="72" w:line="240" w:lineRule="auto"/>
      <w:jc w:val="left"/>
    </w:pPr>
    <w:rPr>
      <w:bCs/>
      <w:sz w:val="20"/>
    </w:rPr>
  </w:style>
  <w:style w:type="paragraph" w:customStyle="1" w:styleId="03TabelleKopfzeile12pt">
    <w:name w:val="03 Tabelle Kopfzeile 12pt"/>
    <w:basedOn w:val="03TabelleText10pt"/>
    <w:qFormat/>
    <w:rsid w:val="00B606C6"/>
    <w:rPr>
      <w:sz w:val="24"/>
    </w:rPr>
  </w:style>
  <w:style w:type="paragraph" w:customStyle="1" w:styleId="03TabelleText12pt">
    <w:name w:val="03 Tabelle Text 12pt"/>
    <w:basedOn w:val="03TabelleText10pt"/>
    <w:qFormat/>
    <w:rsid w:val="00B606C6"/>
    <w:pPr>
      <w:spacing w:before="0" w:after="0"/>
    </w:pPr>
    <w:rPr>
      <w:sz w:val="24"/>
    </w:rPr>
  </w:style>
  <w:style w:type="paragraph" w:customStyle="1" w:styleId="04Blockzitat1">
    <w:name w:val="04 Blockzitat 1"/>
    <w:basedOn w:val="Standard"/>
    <w:qFormat/>
    <w:rsid w:val="00B606C6"/>
    <w:pPr>
      <w:spacing w:before="144" w:after="144" w:line="288" w:lineRule="auto"/>
      <w:ind w:left="709" w:hanging="57"/>
      <w:jc w:val="both"/>
    </w:pPr>
  </w:style>
  <w:style w:type="paragraph" w:customStyle="1" w:styleId="04Blockzitat2">
    <w:name w:val="04 Blockzitat 2"/>
    <w:basedOn w:val="Standard"/>
    <w:qFormat/>
    <w:rsid w:val="00B606C6"/>
    <w:pPr>
      <w:spacing w:before="144" w:after="144" w:line="288" w:lineRule="auto"/>
      <w:ind w:left="709" w:hanging="57"/>
      <w:jc w:val="both"/>
    </w:pPr>
    <w:rPr>
      <w:sz w:val="20"/>
      <w:szCs w:val="20"/>
    </w:rPr>
  </w:style>
  <w:style w:type="paragraph" w:customStyle="1" w:styleId="04Blockzitat3">
    <w:name w:val="04 Blockzitat 3"/>
    <w:basedOn w:val="Standard"/>
    <w:qFormat/>
    <w:rsid w:val="00B606C6"/>
    <w:pPr>
      <w:spacing w:before="144" w:after="144" w:line="288" w:lineRule="auto"/>
      <w:ind w:left="709" w:hanging="57"/>
      <w:jc w:val="both"/>
    </w:pPr>
    <w:rPr>
      <w:i/>
      <w:iCs/>
    </w:rPr>
  </w:style>
  <w:style w:type="paragraph" w:customStyle="1" w:styleId="05Aufzhlung">
    <w:name w:val="05 Aufzählung"/>
    <w:basedOn w:val="Standard"/>
    <w:qFormat/>
    <w:rsid w:val="00B606C6"/>
    <w:pPr>
      <w:numPr>
        <w:numId w:val="3"/>
      </w:numPr>
      <w:tabs>
        <w:tab w:val="left" w:pos="709"/>
      </w:tabs>
      <w:spacing w:before="180" w:after="180" w:line="360" w:lineRule="auto"/>
    </w:pPr>
  </w:style>
  <w:style w:type="paragraph" w:customStyle="1" w:styleId="05Aufzhlungnummeriert">
    <w:name w:val="05 Aufzählung nummeriert"/>
    <w:basedOn w:val="Standard"/>
    <w:qFormat/>
    <w:rsid w:val="00B606C6"/>
    <w:pPr>
      <w:tabs>
        <w:tab w:val="left" w:pos="709"/>
      </w:tabs>
      <w:spacing w:before="180" w:after="180" w:line="360" w:lineRule="auto"/>
      <w:ind w:left="709" w:hanging="709"/>
      <w:contextualSpacing/>
    </w:pPr>
  </w:style>
  <w:style w:type="character" w:customStyle="1" w:styleId="06Schmaler">
    <w:name w:val="06 Schmaler"/>
    <w:basedOn w:val="Absatz-Standardschriftart"/>
    <w:uiPriority w:val="1"/>
    <w:qFormat/>
    <w:rsid w:val="00B606C6"/>
    <w:rPr>
      <w:spacing w:val="-2"/>
    </w:rPr>
  </w:style>
  <w:style w:type="character" w:customStyle="1" w:styleId="06Weiter">
    <w:name w:val="06 Weiter"/>
    <w:basedOn w:val="Absatz-Standardschriftart"/>
    <w:uiPriority w:val="1"/>
    <w:qFormat/>
    <w:rsid w:val="00B606C6"/>
    <w:rPr>
      <w:spacing w:val="2"/>
    </w:rPr>
  </w:style>
  <w:style w:type="paragraph" w:styleId="Abbildungsverzeichnis">
    <w:name w:val="table of figures"/>
    <w:basedOn w:val="Standard"/>
    <w:next w:val="Standard"/>
    <w:uiPriority w:val="99"/>
    <w:unhideWhenUsed/>
    <w:rsid w:val="00B606C6"/>
    <w:pPr>
      <w:tabs>
        <w:tab w:val="right" w:leader="dot" w:pos="8494"/>
      </w:tabs>
      <w:spacing w:line="288" w:lineRule="auto"/>
      <w:ind w:left="567" w:hanging="567"/>
    </w:pPr>
    <w:rPr>
      <w:noProof/>
    </w:rPr>
  </w:style>
  <w:style w:type="paragraph" w:customStyle="1" w:styleId="Abkrzungsverzeichnis">
    <w:name w:val="Abkürzungsverzeichnis"/>
    <w:basedOn w:val="Standard"/>
    <w:rsid w:val="00B606C6"/>
    <w:pPr>
      <w:spacing w:line="288" w:lineRule="auto"/>
    </w:pPr>
    <w:rPr>
      <w:szCs w:val="24"/>
    </w:rPr>
  </w:style>
  <w:style w:type="paragraph" w:customStyle="1" w:styleId="BeschriftungTabelle">
    <w:name w:val="Beschriftung Tabelle"/>
    <w:basedOn w:val="Beschriftung"/>
    <w:qFormat/>
    <w:rsid w:val="00B606C6"/>
    <w:pPr>
      <w:keepNext/>
      <w:spacing w:before="576" w:after="28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06C6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06C6"/>
    <w:rPr>
      <w:rFonts w:ascii="Tahoma" w:hAnsi="Tahoma" w:cs="Tahoma"/>
      <w:color w:val="000000"/>
      <w:sz w:val="16"/>
      <w:szCs w:val="16"/>
    </w:rPr>
  </w:style>
  <w:style w:type="paragraph" w:customStyle="1" w:styleId="FormatvorlageAbbildungsverzeichnisZeilenabstandMehrere12ze">
    <w:name w:val="Formatvorlage Abbildungsverzeichnis + Zeilenabstand:  Mehrere 12 ze"/>
    <w:basedOn w:val="Abbildungsverzeichnis"/>
    <w:rsid w:val="00B606C6"/>
    <w:rPr>
      <w:rFonts w:eastAsia="Times New Roman"/>
    </w:rPr>
  </w:style>
  <w:style w:type="paragraph" w:styleId="Funotentext">
    <w:name w:val="footnote text"/>
    <w:basedOn w:val="Standard"/>
    <w:link w:val="FunotentextZchn"/>
    <w:uiPriority w:val="99"/>
    <w:unhideWhenUsed/>
    <w:rsid w:val="00B606C6"/>
    <w:pPr>
      <w:keepLines/>
      <w:tabs>
        <w:tab w:val="left" w:pos="709"/>
      </w:tabs>
      <w:spacing w:line="288" w:lineRule="auto"/>
      <w:ind w:left="709" w:hanging="709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606C6"/>
    <w:rPr>
      <w:rFonts w:ascii="Times New Roman" w:hAnsi="Times New Roman" w:cs="Times New Roman"/>
      <w:color w:val="000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606C6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B606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606C6"/>
    <w:rPr>
      <w:rFonts w:ascii="Times New Roman" w:hAnsi="Times New Roman" w:cs="Times New Roman"/>
      <w:color w:val="000000"/>
      <w:sz w:val="24"/>
    </w:rPr>
  </w:style>
  <w:style w:type="table" w:customStyle="1" w:styleId="HelleSchattierung-Akzent11">
    <w:name w:val="Helle Schattierung - Akzent 11"/>
    <w:basedOn w:val="NormaleTabelle"/>
    <w:uiPriority w:val="60"/>
    <w:rsid w:val="00B606C6"/>
    <w:pPr>
      <w:spacing w:after="0" w:line="240" w:lineRule="auto"/>
    </w:pPr>
    <w:rPr>
      <w:rFonts w:ascii="Calibri" w:hAnsi="Calibri" w:cs="Arial"/>
      <w:color w:val="365F9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basedOn w:val="Absatz-Standardschriftart"/>
    <w:uiPriority w:val="99"/>
    <w:unhideWhenUsed/>
    <w:rsid w:val="00B606C6"/>
    <w:rPr>
      <w:color w:val="auto"/>
      <w:u w:val="none"/>
    </w:rPr>
  </w:style>
  <w:style w:type="paragraph" w:styleId="Index1">
    <w:name w:val="index 1"/>
    <w:basedOn w:val="Standard"/>
    <w:next w:val="Standard"/>
    <w:autoRedefine/>
    <w:uiPriority w:val="99"/>
    <w:unhideWhenUsed/>
    <w:rsid w:val="00B606C6"/>
    <w:pPr>
      <w:tabs>
        <w:tab w:val="right" w:leader="dot" w:pos="3882"/>
      </w:tabs>
      <w:spacing w:line="288" w:lineRule="auto"/>
      <w:ind w:left="238" w:hanging="238"/>
    </w:pPr>
    <w:rPr>
      <w:noProof/>
    </w:rPr>
  </w:style>
  <w:style w:type="paragraph" w:styleId="KeinLeerraum">
    <w:name w:val="No Spacing"/>
    <w:link w:val="KeinLeerraumZchn"/>
    <w:uiPriority w:val="1"/>
    <w:qFormat/>
    <w:rsid w:val="00B606C6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606C6"/>
    <w:rPr>
      <w:rFonts w:ascii="Calibri" w:eastAsia="Times New Roman" w:hAnsi="Calibri" w:cs="Arial"/>
    </w:rPr>
  </w:style>
  <w:style w:type="paragraph" w:styleId="Kopfzeile">
    <w:name w:val="header"/>
    <w:aliases w:val="Kopfzeile_links"/>
    <w:basedOn w:val="Standard"/>
    <w:link w:val="KopfzeileZchn"/>
    <w:uiPriority w:val="99"/>
    <w:unhideWhenUsed/>
    <w:qFormat/>
    <w:rsid w:val="00B606C6"/>
    <w:pPr>
      <w:tabs>
        <w:tab w:val="left" w:pos="709"/>
        <w:tab w:val="right" w:pos="8505"/>
      </w:tabs>
    </w:pPr>
    <w:rPr>
      <w:rFonts w:ascii="PT Serif" w:hAnsi="PT Serif"/>
      <w:b/>
      <w:noProof/>
      <w:color w:val="FFFFFF" w:themeColor="background1"/>
      <w:sz w:val="20"/>
      <w:szCs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KopfzeileZchn">
    <w:name w:val="Kopfzeile Zchn"/>
    <w:aliases w:val="Kopfzeile_links Zchn"/>
    <w:basedOn w:val="Absatz-Standardschriftart"/>
    <w:link w:val="Kopfzeile"/>
    <w:uiPriority w:val="99"/>
    <w:rsid w:val="00B606C6"/>
    <w:rPr>
      <w:rFonts w:ascii="PT Serif" w:hAnsi="PT Serif" w:cs="Times New Roman"/>
      <w:b/>
      <w:noProof/>
      <w:color w:val="FFFFFF" w:themeColor="background1"/>
      <w:sz w:val="20"/>
      <w:szCs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styleId="Listenabsatz">
    <w:name w:val="List Paragraph"/>
    <w:basedOn w:val="Standard"/>
    <w:uiPriority w:val="34"/>
    <w:qFormat/>
    <w:rsid w:val="00B606C6"/>
    <w:pPr>
      <w:spacing w:line="288" w:lineRule="auto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B606C6"/>
    <w:pPr>
      <w:keepLines/>
      <w:spacing w:after="144" w:line="288" w:lineRule="auto"/>
      <w:ind w:left="709" w:hanging="709"/>
      <w:jc w:val="both"/>
    </w:pPr>
  </w:style>
  <w:style w:type="table" w:customStyle="1" w:styleId="MittlereSchattierung11">
    <w:name w:val="Mittlere Schattierung 11"/>
    <w:basedOn w:val="NormaleTabelle"/>
    <w:uiPriority w:val="63"/>
    <w:rsid w:val="00B606C6"/>
    <w:pPr>
      <w:spacing w:after="0" w:line="240" w:lineRule="auto"/>
    </w:pPr>
    <w:rPr>
      <w:rFonts w:ascii="Calibri" w:hAnsi="Calibri" w:cs="Arial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Nummerierung">
    <w:name w:val="Nummerierung"/>
    <w:uiPriority w:val="99"/>
    <w:rsid w:val="00B606C6"/>
    <w:pPr>
      <w:numPr>
        <w:numId w:val="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6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6C6"/>
    <w:rPr>
      <w:rFonts w:ascii="Tahoma" w:hAnsi="Tahoma" w:cs="Tahoma"/>
      <w:color w:val="000000"/>
      <w:sz w:val="16"/>
      <w:szCs w:val="16"/>
    </w:rPr>
  </w:style>
  <w:style w:type="table" w:customStyle="1" w:styleId="Tabelle1">
    <w:name w:val="Tabelle 1"/>
    <w:basedOn w:val="NormaleTabelle"/>
    <w:uiPriority w:val="60"/>
    <w:rsid w:val="00B606C6"/>
    <w:pPr>
      <w:spacing w:before="72" w:after="72" w:line="288" w:lineRule="auto"/>
    </w:pPr>
    <w:rPr>
      <w:rFonts w:ascii="Calibri" w:hAnsi="Calibri" w:cs="Arial"/>
      <w:color w:val="000000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  <w:i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/>
      </w:tcPr>
    </w:tblStylePr>
    <w:tblStylePr w:type="firstCol">
      <w:rPr>
        <w:b w:val="0"/>
        <w:bCs/>
      </w:rPr>
      <w:tblPr/>
      <w:tcPr>
        <w:shd w:val="clear" w:color="auto" w:fill="FFFFFF"/>
      </w:tcPr>
    </w:tblStylePr>
    <w:tblStylePr w:type="lastCol">
      <w:rPr>
        <w:b w:val="0"/>
        <w:bCs/>
      </w:rPr>
      <w:tblPr/>
      <w:tcPr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Tabellenraster">
    <w:name w:val="Table Grid"/>
    <w:basedOn w:val="NormaleTabelle"/>
    <w:uiPriority w:val="59"/>
    <w:rsid w:val="00B606C6"/>
    <w:pPr>
      <w:spacing w:after="0" w:line="240" w:lineRule="auto"/>
    </w:pPr>
    <w:rPr>
      <w:rFonts w:ascii="Calibri" w:hAnsi="Calibri" w:cs="Arial"/>
      <w:sz w:val="20"/>
      <w:szCs w:val="20"/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606C6"/>
    <w:rPr>
      <w:rFonts w:ascii="Times New Roman" w:eastAsia="Times New Roman" w:hAnsi="Times New Roman" w:cs="Times New Roman"/>
      <w:bCs/>
      <w:color w:val="000000"/>
      <w:sz w:val="36"/>
      <w:szCs w:val="28"/>
    </w:rPr>
  </w:style>
  <w:style w:type="paragraph" w:customStyle="1" w:styleId="berschrift1ohne">
    <w:name w:val="Überschrift 1_ohne"/>
    <w:basedOn w:val="Standard"/>
    <w:next w:val="02Flietext"/>
    <w:qFormat/>
    <w:rsid w:val="00B606C6"/>
    <w:pPr>
      <w:keepNext/>
      <w:keepLines/>
      <w:tabs>
        <w:tab w:val="left" w:pos="709"/>
      </w:tabs>
      <w:suppressAutoHyphens/>
      <w:spacing w:after="720" w:line="288" w:lineRule="auto"/>
      <w:ind w:right="1134"/>
    </w:pPr>
    <w:rPr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06C6"/>
    <w:rPr>
      <w:rFonts w:ascii="Times New Roman" w:eastAsia="Times New Roman" w:hAnsi="Times New Roman" w:cs="Times New Roman"/>
      <w:color w:val="000000"/>
      <w:sz w:val="28"/>
      <w:szCs w:val="26"/>
    </w:rPr>
  </w:style>
  <w:style w:type="paragraph" w:customStyle="1" w:styleId="berschrift2ohne">
    <w:name w:val="Überschrift 2_ohne"/>
    <w:basedOn w:val="berschrift2"/>
    <w:qFormat/>
    <w:rsid w:val="00B606C6"/>
    <w:pPr>
      <w:outlineLvl w:val="9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06C6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06C6"/>
    <w:rPr>
      <w:rFonts w:ascii="Times New Roman" w:eastAsia="Times New Roman" w:hAnsi="Times New Roman" w:cs="Times New Roman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06C6"/>
    <w:rPr>
      <w:rFonts w:ascii="Times New Roman" w:eastAsia="Times New Roman" w:hAnsi="Times New Roman" w:cs="Times New Roman"/>
      <w:i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606C6"/>
    <w:rPr>
      <w:rFonts w:ascii="Times New Roman" w:eastAsia="Times New Roman" w:hAnsi="Times New Roman" w:cs="Times New Roman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606C6"/>
    <w:rPr>
      <w:rFonts w:ascii="Times New Roman" w:eastAsia="Times New Roman" w:hAnsi="Times New Roman" w:cs="Times New Roman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606C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606C6"/>
    <w:rPr>
      <w:rFonts w:ascii="Times New Roman" w:eastAsia="Times New Roman" w:hAnsi="Times New Roman" w:cs="Times New Roman"/>
      <w:i/>
      <w:iCs/>
      <w:sz w:val="24"/>
      <w:szCs w:val="24"/>
    </w:rPr>
  </w:style>
  <w:style w:type="table" w:customStyle="1" w:styleId="UnsichtbareTabelle">
    <w:name w:val="Unsichtbare Tabelle"/>
    <w:basedOn w:val="NormaleTabelle"/>
    <w:uiPriority w:val="60"/>
    <w:rsid w:val="00B606C6"/>
    <w:pPr>
      <w:spacing w:after="0" w:line="288" w:lineRule="auto"/>
    </w:pPr>
    <w:rPr>
      <w:rFonts w:ascii="Times New Roman" w:hAnsi="Times New Roman" w:cs="Arial"/>
      <w:sz w:val="24"/>
      <w:szCs w:val="24"/>
      <w:lang w:eastAsia="de-DE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 w:val="0"/>
        <w:bCs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B606C6"/>
    <w:pPr>
      <w:tabs>
        <w:tab w:val="left" w:pos="567"/>
        <w:tab w:val="right" w:leader="dot" w:pos="8505"/>
      </w:tabs>
      <w:spacing w:before="148" w:line="288" w:lineRule="auto"/>
      <w:ind w:left="567" w:hanging="567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606C6"/>
    <w:pPr>
      <w:tabs>
        <w:tab w:val="left" w:pos="1418"/>
        <w:tab w:val="right" w:leader="dot" w:pos="8505"/>
      </w:tabs>
      <w:spacing w:line="288" w:lineRule="auto"/>
      <w:ind w:left="1418" w:hanging="851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B606C6"/>
    <w:pPr>
      <w:tabs>
        <w:tab w:val="left" w:pos="2268"/>
        <w:tab w:val="right" w:leader="dot" w:pos="8505"/>
      </w:tabs>
      <w:spacing w:line="288" w:lineRule="auto"/>
      <w:ind w:left="2268" w:hanging="85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B606C6"/>
    <w:pPr>
      <w:tabs>
        <w:tab w:val="left" w:pos="2127"/>
        <w:tab w:val="right" w:leader="dot" w:pos="8505"/>
      </w:tabs>
      <w:spacing w:line="288" w:lineRule="auto"/>
      <w:ind w:left="2127" w:hanging="1134"/>
    </w:pPr>
    <w:rPr>
      <w:noProof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606C6"/>
    <w:pPr>
      <w:spacing w:after="100"/>
      <w:ind w:left="1920"/>
    </w:pPr>
  </w:style>
  <w:style w:type="paragraph" w:customStyle="1" w:styleId="Zwischenberschrift">
    <w:name w:val="Zwischenüberschrift"/>
    <w:basedOn w:val="Standard"/>
    <w:next w:val="02Flietext"/>
    <w:qFormat/>
    <w:rsid w:val="00B606C6"/>
    <w:pPr>
      <w:keepNext/>
      <w:keepLines/>
      <w:suppressAutoHyphens/>
      <w:spacing w:before="288" w:after="144" w:line="288" w:lineRule="auto"/>
      <w:ind w:right="1134"/>
    </w:pPr>
    <w:rPr>
      <w:i/>
    </w:rPr>
  </w:style>
  <w:style w:type="character" w:styleId="NichtaufgelsteErwhnung">
    <w:name w:val="Unresolved Mention"/>
    <w:basedOn w:val="Absatz-Standardschriftart"/>
    <w:uiPriority w:val="99"/>
    <w:semiHidden/>
    <w:unhideWhenUsed/>
    <w:locked/>
    <w:rsid w:val="00D7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euro.who.int/en/about-us/partners/observatory/publications/health-system-reviews-hits/full-list-of-country-hi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1548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Linden</dc:creator>
  <cp:keywords/>
  <dc:description/>
  <cp:lastModifiedBy>Philipp Linden</cp:lastModifiedBy>
  <cp:revision>48</cp:revision>
  <dcterms:created xsi:type="dcterms:W3CDTF">2019-06-16T13:36:00Z</dcterms:created>
  <dcterms:modified xsi:type="dcterms:W3CDTF">2019-06-17T10:03:00Z</dcterms:modified>
</cp:coreProperties>
</file>