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proofErr w:type="spellStart"/>
      <w:r w:rsidRPr="000C6B26">
        <w:rPr>
          <w:bCs/>
          <w:szCs w:val="24"/>
          <w:lang w:val="en-US"/>
        </w:rPr>
        <w:t>Mareike</w:t>
      </w:r>
      <w:proofErr w:type="spellEnd"/>
      <w:r w:rsidRPr="000C6B26">
        <w:rPr>
          <w:bCs/>
          <w:szCs w:val="24"/>
          <w:lang w:val="en-US"/>
        </w:rPr>
        <w:t xml:space="preserv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proofErr w:type="gramStart"/>
      <w:r w:rsidR="00D11535" w:rsidRPr="00661837">
        <w:rPr>
          <w:color w:val="000000" w:themeColor="text1"/>
          <w:szCs w:val="24"/>
          <w:lang w:val="en-US"/>
        </w:rPr>
        <w:t>68159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hyperlink r:id="rId10" w:history="1">
        <w:r w:rsidR="00661837" w:rsidRPr="007048BA">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1AFE8EDE" w:rsidR="00EB31E0" w:rsidRPr="006A56FF" w:rsidRDefault="00EB31E0" w:rsidP="00EB31E0">
            <w:pPr>
              <w:jc w:val="right"/>
              <w:rPr>
                <w:rFonts w:eastAsia="Times New Roman"/>
                <w:bCs/>
                <w:lang w:val="en-US" w:eastAsia="de-DE"/>
              </w:rPr>
            </w:pPr>
            <w:r w:rsidRPr="006A56FF">
              <w:rPr>
                <w:rFonts w:eastAsia="Times New Roman"/>
                <w:lang w:val="en-US" w:eastAsia="de-DE"/>
              </w:rPr>
              <w:t>201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CDC3A27" w:rsidR="00EB31E0" w:rsidRPr="006A56FF" w:rsidRDefault="004D303B" w:rsidP="00EB31E0">
            <w:pPr>
              <w:jc w:val="right"/>
              <w:rPr>
                <w:rFonts w:eastAsia="Times New Roman"/>
                <w:bCs/>
                <w:lang w:val="en-US" w:eastAsia="de-DE"/>
              </w:rPr>
            </w:pPr>
            <w:r w:rsidRPr="006A56FF">
              <w:rPr>
                <w:rFonts w:eastAsia="Times New Roman"/>
                <w:bCs/>
                <w:lang w:val="en-US" w:eastAsia="de-DE"/>
              </w:rPr>
              <w:t>192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817764A" w:rsidR="00EB31E0" w:rsidRPr="006A56FF" w:rsidRDefault="00E21111" w:rsidP="00EB31E0">
            <w:pPr>
              <w:jc w:val="right"/>
              <w:rPr>
                <w:rFonts w:eastAsia="Times New Roman"/>
                <w:bCs/>
                <w:lang w:val="en-US" w:eastAsia="de-DE"/>
              </w:rPr>
            </w:pPr>
            <w:r>
              <w:rPr>
                <w:rFonts w:eastAsia="Times New Roman"/>
                <w:bCs/>
                <w:lang w:val="en-US" w:eastAsia="de-DE"/>
              </w:rPr>
              <w:t>1732</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753D1C4" w:rsidR="00EB31E0" w:rsidRPr="006A56FF" w:rsidRDefault="00CE38C0" w:rsidP="00EB31E0">
            <w:pPr>
              <w:jc w:val="right"/>
              <w:rPr>
                <w:rFonts w:eastAsia="Times New Roman"/>
                <w:bCs/>
                <w:lang w:val="en-US" w:eastAsia="de-DE"/>
              </w:rPr>
            </w:pPr>
            <w:r>
              <w:rPr>
                <w:rFonts w:eastAsia="Times New Roman"/>
                <w:bCs/>
                <w:lang w:val="en-US" w:eastAsia="de-DE"/>
              </w:rPr>
              <w:t>992</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7108B207" w:rsidR="00EB31E0" w:rsidRPr="006A56FF" w:rsidRDefault="00037320" w:rsidP="00EB31E0">
            <w:pPr>
              <w:jc w:val="right"/>
              <w:rPr>
                <w:rFonts w:eastAsia="Times New Roman"/>
                <w:bCs/>
                <w:lang w:val="en-US" w:eastAsia="de-DE"/>
              </w:rPr>
            </w:pPr>
            <w:r>
              <w:rPr>
                <w:rFonts w:eastAsia="Times New Roman"/>
                <w:bCs/>
                <w:lang w:val="en-US" w:eastAsia="de-DE"/>
              </w:rPr>
              <w:t>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4DE19F82" w:rsidR="00EB31E0" w:rsidRPr="006A56FF" w:rsidRDefault="004D303B" w:rsidP="00EB31E0">
            <w:pPr>
              <w:jc w:val="right"/>
              <w:rPr>
                <w:rFonts w:eastAsia="Times New Roman"/>
                <w:bCs/>
                <w:lang w:val="en-US" w:eastAsia="de-DE"/>
              </w:rPr>
            </w:pPr>
            <w:r w:rsidRPr="006A56FF">
              <w:rPr>
                <w:rFonts w:eastAsia="Times New Roman"/>
                <w:bCs/>
                <w:lang w:val="en-US" w:eastAsia="de-DE"/>
              </w:rPr>
              <w:t>677</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0E67FE7B" w:rsidR="00EB31E0" w:rsidRPr="006A56FF" w:rsidRDefault="00E21111" w:rsidP="00EB31E0">
            <w:pPr>
              <w:jc w:val="right"/>
              <w:rPr>
                <w:rFonts w:eastAsia="Times New Roman"/>
                <w:bCs/>
                <w:lang w:val="en-US" w:eastAsia="de-DE"/>
              </w:rPr>
            </w:pPr>
            <w:r>
              <w:rPr>
                <w:rFonts w:eastAsia="Times New Roman"/>
                <w:bCs/>
                <w:lang w:val="en-US" w:eastAsia="de-DE"/>
              </w:rPr>
              <w:t>67</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5DB4DC8" w:rsidR="00EB31E0" w:rsidRPr="006A56FF" w:rsidRDefault="00CE38C0" w:rsidP="00EB31E0">
            <w:pPr>
              <w:jc w:val="right"/>
              <w:rPr>
                <w:rFonts w:eastAsia="Times New Roman"/>
                <w:lang w:val="en-US" w:eastAsia="de-DE"/>
              </w:rPr>
            </w:pPr>
            <w:r>
              <w:rPr>
                <w:rFonts w:eastAsia="Times New Roman"/>
                <w:lang w:val="en-US" w:eastAsia="de-DE"/>
              </w:rPr>
              <w:t>4505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73DC60E0" w:rsidR="001B3191" w:rsidRPr="00555ABD" w:rsidRDefault="001B3191" w:rsidP="001B3191">
            <w:pPr>
              <w:jc w:val="right"/>
              <w:rPr>
                <w:rFonts w:eastAsia="Times New Roman"/>
                <w:bCs/>
                <w:lang w:val="en-US" w:eastAsia="de-DE"/>
              </w:rPr>
            </w:pPr>
            <w:r w:rsidRPr="00555ABD">
              <w:rPr>
                <w:rFonts w:eastAsia="Times New Roman"/>
                <w:bCs/>
                <w:lang w:val="en-US" w:eastAsia="de-DE"/>
              </w:rPr>
              <w:t>772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1C584A50" w:rsidR="00555ABD" w:rsidRDefault="00CE38C0" w:rsidP="00555ABD">
            <w:pPr>
              <w:jc w:val="right"/>
              <w:rPr>
                <w:rFonts w:eastAsia="Times New Roman"/>
                <w:bCs/>
                <w:lang w:val="en-US" w:eastAsia="de-DE"/>
              </w:rPr>
            </w:pPr>
            <w:r>
              <w:rPr>
                <w:rFonts w:eastAsia="Times New Roman"/>
                <w:lang w:val="en-US" w:eastAsia="de-DE"/>
              </w:rPr>
              <w:t>5277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77777777" w:rsidR="008B7258" w:rsidRPr="006A56FF" w:rsidRDefault="008B7258" w:rsidP="008B7258">
            <w:pPr>
              <w:jc w:val="right"/>
              <w:rPr>
                <w:rFonts w:eastAsia="Times New Roman"/>
                <w:bCs/>
                <w:lang w:val="en-US" w:eastAsia="de-DE"/>
              </w:rPr>
            </w:pPr>
            <w:r>
              <w:rPr>
                <w:rFonts w:eastAsia="Times New Roman"/>
                <w:bCs/>
                <w:lang w:val="en-US" w:eastAsia="de-DE"/>
              </w:rPr>
              <w:t>150</w:t>
            </w:r>
          </w:p>
        </w:tc>
      </w:tr>
      <w:tr w:rsidR="008B7258" w:rsidRPr="006A56FF" w14:paraId="3F3EC04B" w14:textId="77777777" w:rsidTr="008B7258">
        <w:trPr>
          <w:trHeight w:val="285"/>
        </w:trPr>
        <w:tc>
          <w:tcPr>
            <w:tcW w:w="2665" w:type="dxa"/>
            <w:shd w:val="clear" w:color="auto" w:fill="auto"/>
            <w:noWrap/>
            <w:vAlign w:val="bottom"/>
          </w:tcPr>
          <w:p w14:paraId="3984E9D5" w14:textId="77777777" w:rsidR="008B7258" w:rsidRPr="006A56FF" w:rsidRDefault="008B7258" w:rsidP="008B7258">
            <w:pPr>
              <w:rPr>
                <w:rFonts w:eastAsia="Times New Roman"/>
                <w:bCs/>
                <w:lang w:val="en-US" w:eastAsia="de-DE"/>
              </w:rPr>
            </w:pPr>
            <w:r w:rsidRPr="006A56FF">
              <w:rPr>
                <w:rFonts w:eastAsia="Times New Roman"/>
                <w:bCs/>
                <w:lang w:val="en-US" w:eastAsia="de-DE"/>
              </w:rPr>
              <w:t>T2 (Methods)</w:t>
            </w:r>
          </w:p>
        </w:tc>
        <w:tc>
          <w:tcPr>
            <w:tcW w:w="1200" w:type="dxa"/>
            <w:shd w:val="clear" w:color="auto" w:fill="auto"/>
            <w:noWrap/>
            <w:vAlign w:val="bottom"/>
          </w:tcPr>
          <w:p w14:paraId="3B0B656C" w14:textId="77777777" w:rsidR="008B7258" w:rsidRPr="006A56FF" w:rsidRDefault="008B7258" w:rsidP="008B7258">
            <w:pPr>
              <w:jc w:val="right"/>
              <w:rPr>
                <w:rFonts w:eastAsia="Times New Roman"/>
                <w:bCs/>
                <w:lang w:val="en-US" w:eastAsia="de-DE"/>
              </w:rPr>
            </w:pPr>
            <w:r>
              <w:rPr>
                <w:rFonts w:eastAsia="Times New Roman"/>
                <w:bCs/>
                <w:lang w:val="en-US" w:eastAsia="de-DE"/>
              </w:rPr>
              <w:t>314</w:t>
            </w:r>
          </w:p>
        </w:tc>
      </w:tr>
      <w:tr w:rsidR="008B7258" w:rsidRPr="006A56FF" w14:paraId="672CB6CC" w14:textId="77777777" w:rsidTr="008B7258">
        <w:trPr>
          <w:trHeight w:val="285"/>
        </w:trPr>
        <w:tc>
          <w:tcPr>
            <w:tcW w:w="2665" w:type="dxa"/>
            <w:shd w:val="clear" w:color="auto" w:fill="auto"/>
            <w:noWrap/>
            <w:vAlign w:val="bottom"/>
          </w:tcPr>
          <w:p w14:paraId="6563D1D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417601B8" w14:textId="77777777" w:rsidR="008B7258" w:rsidRPr="006A56FF" w:rsidRDefault="008B7258" w:rsidP="008B7258">
            <w:pPr>
              <w:jc w:val="right"/>
              <w:rPr>
                <w:rFonts w:eastAsia="Times New Roman"/>
                <w:bCs/>
                <w:lang w:val="en-US" w:eastAsia="de-DE"/>
              </w:rPr>
            </w:pP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77777777" w:rsidR="008B7258" w:rsidRPr="006A56FF" w:rsidRDefault="008B7258" w:rsidP="008B7258">
            <w:pPr>
              <w:jc w:val="right"/>
              <w:rPr>
                <w:rFonts w:eastAsia="Times New Roman"/>
                <w:b/>
                <w:lang w:val="en-US" w:eastAsia="de-DE"/>
              </w:rPr>
            </w:pPr>
            <w:r>
              <w:rPr>
                <w:rFonts w:eastAsia="Times New Roman"/>
                <w:b/>
                <w:lang w:val="en-US" w:eastAsia="de-DE"/>
              </w:rPr>
              <w:t>464</w:t>
            </w:r>
          </w:p>
        </w:tc>
      </w:tr>
      <w:tr w:rsidR="008B7258" w:rsidRPr="006A56FF" w14:paraId="368EC36A" w14:textId="77777777" w:rsidTr="008B7258">
        <w:trPr>
          <w:trHeight w:val="285"/>
        </w:trPr>
        <w:tc>
          <w:tcPr>
            <w:tcW w:w="2665" w:type="dxa"/>
            <w:shd w:val="clear" w:color="auto" w:fill="auto"/>
            <w:noWrap/>
            <w:vAlign w:val="bottom"/>
          </w:tcPr>
          <w:p w14:paraId="50165E95"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1 (Results)</w:t>
            </w:r>
          </w:p>
        </w:tc>
        <w:tc>
          <w:tcPr>
            <w:tcW w:w="1200" w:type="dxa"/>
            <w:shd w:val="clear" w:color="auto" w:fill="auto"/>
            <w:noWrap/>
            <w:vAlign w:val="bottom"/>
          </w:tcPr>
          <w:p w14:paraId="05375399" w14:textId="77777777" w:rsidR="008B7258" w:rsidRPr="006A56FF" w:rsidRDefault="008B7258" w:rsidP="008B7258">
            <w:pPr>
              <w:jc w:val="right"/>
              <w:rPr>
                <w:rFonts w:eastAsia="Times New Roman"/>
                <w:bCs/>
                <w:lang w:val="en-US" w:eastAsia="de-DE"/>
              </w:rPr>
            </w:pPr>
            <w:r>
              <w:rPr>
                <w:rFonts w:eastAsia="Times New Roman"/>
                <w:bCs/>
                <w:lang w:val="en-US" w:eastAsia="de-DE"/>
              </w:rPr>
              <w:t>177</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77777777" w:rsidR="008B7258" w:rsidRPr="006A56FF" w:rsidRDefault="008B7258" w:rsidP="008B7258">
            <w:pPr>
              <w:jc w:val="right"/>
              <w:rPr>
                <w:rFonts w:eastAsia="Times New Roman"/>
                <w:bCs/>
                <w:lang w:val="en-US" w:eastAsia="de-DE"/>
              </w:rPr>
            </w:pPr>
            <w:r>
              <w:rPr>
                <w:rFonts w:eastAsia="Times New Roman"/>
                <w:bCs/>
                <w:lang w:val="en-US" w:eastAsia="de-DE"/>
              </w:rPr>
              <w:t>131</w:t>
            </w:r>
          </w:p>
        </w:tc>
      </w:tr>
      <w:tr w:rsidR="008B7258" w:rsidRPr="006A56FF" w14:paraId="73A20C10" w14:textId="77777777" w:rsidTr="008B7258">
        <w:trPr>
          <w:trHeight w:val="285"/>
        </w:trPr>
        <w:tc>
          <w:tcPr>
            <w:tcW w:w="2665" w:type="dxa"/>
            <w:shd w:val="clear" w:color="auto" w:fill="auto"/>
            <w:noWrap/>
            <w:vAlign w:val="bottom"/>
          </w:tcPr>
          <w:p w14:paraId="73CF833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7AE9BA6E" w14:textId="77777777" w:rsidR="008B7258" w:rsidRPr="006A56FF" w:rsidRDefault="008B7258" w:rsidP="008B7258">
            <w:pPr>
              <w:jc w:val="right"/>
              <w:rPr>
                <w:rFonts w:eastAsia="Times New Roman"/>
                <w:bCs/>
                <w:lang w:val="en-US" w:eastAsia="de-DE"/>
              </w:rPr>
            </w:pP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77777777" w:rsidR="008B7258" w:rsidRPr="006A56FF" w:rsidRDefault="008B7258" w:rsidP="008B7258">
            <w:pPr>
              <w:jc w:val="right"/>
              <w:rPr>
                <w:rFonts w:eastAsia="Times New Roman"/>
                <w:b/>
                <w:lang w:val="en-US" w:eastAsia="de-DE"/>
              </w:rPr>
            </w:pPr>
            <w:r>
              <w:rPr>
                <w:rFonts w:eastAsia="Times New Roman"/>
                <w:b/>
                <w:lang w:val="en-US" w:eastAsia="de-DE"/>
              </w:rPr>
              <w:t>308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7777777" w:rsidR="008B7258" w:rsidRPr="00B52283" w:rsidRDefault="008B7258" w:rsidP="008B7258">
            <w:pPr>
              <w:jc w:val="right"/>
              <w:rPr>
                <w:rFonts w:eastAsia="Times New Roman"/>
                <w:b/>
                <w:lang w:val="en-US" w:eastAsia="de-DE"/>
              </w:rPr>
            </w:pPr>
            <w:r w:rsidRPr="00B52283">
              <w:rPr>
                <w:rFonts w:eastAsia="Times New Roman"/>
                <w:b/>
                <w:lang w:val="en-US" w:eastAsia="de-DE"/>
              </w:rPr>
              <w:t>772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22A86028"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201 words</w:t>
      </w:r>
    </w:p>
    <w:p w14:paraId="3329E57B" w14:textId="611EF528"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E67C7" w:rsidRPr="006A56FF">
        <w:rPr>
          <w:lang w:val="en-US"/>
        </w:rPr>
        <w:t xml:space="preserve">However, </w:t>
      </w:r>
      <w:r w:rsidR="00D11535">
        <w:rPr>
          <w:lang w:val="en-US"/>
        </w:rPr>
        <w:t>supply</w:t>
      </w:r>
      <w:r w:rsidRPr="006A56FF">
        <w:rPr>
          <w:lang w:val="en-US"/>
        </w:rPr>
        <w:t xml:space="preserve">, </w:t>
      </w:r>
      <w:r w:rsidR="00D11535">
        <w:rPr>
          <w:lang w:val="en-US"/>
        </w:rPr>
        <w:t>public-private mix</w:t>
      </w:r>
      <w:r w:rsidRPr="006A56FF">
        <w:rPr>
          <w:lang w:val="en-US"/>
        </w:rPr>
        <w:t xml:space="preserve">, </w:t>
      </w:r>
      <w:proofErr w:type="gramStart"/>
      <w:r w:rsidRPr="006A56FF">
        <w:rPr>
          <w:lang w:val="en-US"/>
        </w:rPr>
        <w:t>accessibility</w:t>
      </w:r>
      <w:proofErr w:type="gramEnd"/>
      <w:r w:rsidRPr="006A56FF">
        <w:rPr>
          <w:lang w:val="en-US"/>
        </w:rPr>
        <w:t xml:space="preserve"> and performance of LTC systems differ widely across countries. </w:t>
      </w:r>
      <w:r w:rsidR="00DE67C7" w:rsidRPr="006A56FF">
        <w:rPr>
          <w:lang w:val="en-US"/>
        </w:rPr>
        <w:t>We therefore aim to typologize OECD LTC systems,</w:t>
      </w:r>
      <w:r w:rsidR="00160F11" w:rsidRPr="006A56FF">
        <w:rPr>
          <w:lang w:val="en-US"/>
        </w:rPr>
        <w:t xml:space="preserve"> </w:t>
      </w:r>
      <w:r w:rsidRPr="006A56FF">
        <w:rPr>
          <w:lang w:val="en-US"/>
        </w:rPr>
        <w:t>address</w:t>
      </w:r>
      <w:r w:rsidR="00DE67C7" w:rsidRPr="006A56FF">
        <w:rPr>
          <w:lang w:val="en-US"/>
        </w:rPr>
        <w:t>ing</w:t>
      </w:r>
      <w:r w:rsidRPr="006A56FF">
        <w:rPr>
          <w:lang w:val="en-US"/>
        </w:rPr>
        <w:t xml:space="preserve"> differences and similarities in these dimensions systematically</w:t>
      </w:r>
      <w:r w:rsidR="00160F11" w:rsidRPr="006A56FF">
        <w:rPr>
          <w:lang w:val="en-US"/>
        </w:rPr>
        <w:t xml:space="preserve">. </w:t>
      </w:r>
      <w:r w:rsidR="00DE67C7" w:rsidRPr="006A56FF">
        <w:rPr>
          <w:lang w:val="en-US"/>
        </w:rPr>
        <w:t>Not only is an updated and extended typology needed d</w:t>
      </w:r>
      <w:r w:rsidRPr="006A56FF">
        <w:rPr>
          <w:lang w:val="en-US"/>
        </w:rPr>
        <w:t xml:space="preserve">ue to the maturation, </w:t>
      </w:r>
      <w:proofErr w:type="gramStart"/>
      <w:r w:rsidRPr="006A56FF">
        <w:rPr>
          <w:lang w:val="en-US"/>
        </w:rPr>
        <w:t>economization</w:t>
      </w:r>
      <w:proofErr w:type="gramEnd"/>
      <w:r w:rsidRPr="006A56FF">
        <w:rPr>
          <w:lang w:val="en-US"/>
        </w:rPr>
        <w:t xml:space="preserve"> and marketization of LTC systems</w:t>
      </w:r>
      <w:r w:rsidR="00160F11" w:rsidRPr="006A56FF">
        <w:rPr>
          <w:lang w:val="en-US"/>
        </w:rPr>
        <w:t xml:space="preserve"> but </w:t>
      </w:r>
      <w:r w:rsidR="000C097C" w:rsidRPr="006A56FF">
        <w:rPr>
          <w:lang w:val="en-US"/>
        </w:rPr>
        <w:t>also compared</w:t>
      </w:r>
      <w:r w:rsidRPr="006A56FF">
        <w:rPr>
          <w:lang w:val="en-US"/>
        </w:rPr>
        <w:t xml:space="preserve"> to earlier typologies, we make three advancements. First, </w:t>
      </w:r>
      <w:r w:rsidR="00DE67C7" w:rsidRPr="006A56FF">
        <w:rPr>
          <w:lang w:val="en-US"/>
        </w:rPr>
        <w:t>previous</w:t>
      </w:r>
      <w:r w:rsidRPr="006A56FF">
        <w:rPr>
          <w:lang w:val="en-US"/>
        </w:rPr>
        <w:t xml:space="preserve"> typologies </w:t>
      </w:r>
      <w:r w:rsidR="00DE67C7" w:rsidRPr="006A56FF">
        <w:rPr>
          <w:lang w:val="en-US"/>
        </w:rPr>
        <w:t>often focus</w:t>
      </w:r>
      <w:r w:rsidR="00272AF4" w:rsidRPr="006A56FF">
        <w:rPr>
          <w:lang w:val="en-US"/>
        </w:rPr>
        <w:t xml:space="preserve"> </w:t>
      </w:r>
      <w:r w:rsidRPr="006A56FF">
        <w:rPr>
          <w:lang w:val="en-US"/>
        </w:rPr>
        <w:t xml:space="preserve">either on social services in general or on one aspect of LTC such as migration or family caregiving. Our approach clearly focuses on characteristics of LTC </w:t>
      </w:r>
      <w:r w:rsidRPr="006A56FF">
        <w:rPr>
          <w:i/>
          <w:lang w:val="en-US"/>
        </w:rPr>
        <w:t>institutions</w:t>
      </w:r>
      <w:r w:rsidRPr="006A56FF">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A56FF">
        <w:rPr>
          <w:lang w:val="en-US"/>
        </w:rPr>
        <w:t xml:space="preserve">supply, </w:t>
      </w:r>
      <w:r w:rsidR="00BB1865" w:rsidRPr="006A56FF">
        <w:rPr>
          <w:lang w:val="en-US"/>
        </w:rPr>
        <w:t>public-private mix,</w:t>
      </w:r>
      <w:r w:rsidR="00272AF4" w:rsidRPr="006A56FF">
        <w:rPr>
          <w:lang w:val="en-US"/>
        </w:rPr>
        <w:t xml:space="preserve"> performance</w:t>
      </w:r>
      <w:r w:rsidR="0033302D" w:rsidRPr="006A56FF">
        <w:rPr>
          <w:lang w:val="en-US"/>
        </w:rPr>
        <w:t xml:space="preserve"> </w:t>
      </w:r>
      <w:r w:rsidRPr="006A56FF">
        <w:rPr>
          <w:i/>
          <w:lang w:val="en-US"/>
        </w:rPr>
        <w:t>as well as</w:t>
      </w:r>
      <w:r w:rsidRPr="006A56FF">
        <w:rPr>
          <w:lang w:val="en-US"/>
        </w:rPr>
        <w:t xml:space="preserve"> institutional data on accessibility of systems. Third, we use</w:t>
      </w:r>
      <w:r w:rsidR="0033302D" w:rsidRPr="006A56FF">
        <w:rPr>
          <w:lang w:val="en-US"/>
        </w:rPr>
        <w:t xml:space="preserve"> various </w:t>
      </w:r>
      <w:r w:rsidRPr="006A56FF">
        <w:rPr>
          <w:lang w:val="en-US"/>
        </w:rPr>
        <w:t xml:space="preserve">clustering methods, </w:t>
      </w:r>
      <w:proofErr w:type="gramStart"/>
      <w:r w:rsidR="0033302D" w:rsidRPr="006A56FF">
        <w:rPr>
          <w:lang w:val="en-US"/>
        </w:rPr>
        <w:t>in order to</w:t>
      </w:r>
      <w:proofErr w:type="gramEnd"/>
      <w:r w:rsidR="0033302D" w:rsidRPr="006A56FF">
        <w:rPr>
          <w:lang w:val="en-US"/>
        </w:rPr>
        <w:t xml:space="preserve"> derive at a flexible typology.</w:t>
      </w:r>
      <w:r w:rsidRPr="006A56FF">
        <w:rPr>
          <w:lang w:val="en-US"/>
        </w:rPr>
        <w:t xml:space="preserve"> These advancements increase the empirical basis of comparative LTC systems research and make results more comparable to other welfare and healthcare typologies.</w:t>
      </w:r>
      <w:r w:rsidR="00BB1865" w:rsidRPr="006A56FF">
        <w:rPr>
          <w:lang w:val="en-US"/>
        </w:rPr>
        <w:t xml:space="preserve"> Our results show </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006610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192 words</w:t>
      </w:r>
    </w:p>
    <w:p w14:paraId="3E38185A" w14:textId="3FE1968B" w:rsidR="002A6758" w:rsidRPr="006A56FF" w:rsidRDefault="00CA3F98" w:rsidP="00E00A57">
      <w:pPr>
        <w:pStyle w:val="02FlietextErsterAbsatz"/>
        <w:rPr>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r w:rsidR="00E96149" w:rsidRPr="006A56FF">
        <w:rPr>
          <w:lang w:val="en-US"/>
        </w:rPr>
        <w:t>I</w:t>
      </w:r>
      <w:r w:rsidR="0033302D" w:rsidRPr="006A56FF">
        <w:rPr>
          <w:lang w:val="en-US"/>
        </w:rPr>
        <w:t>ncreasing longevity and the ageing o</w:t>
      </w:r>
      <w:r w:rsidR="00E96149" w:rsidRPr="006A56FF">
        <w:rPr>
          <w:lang w:val="en-US"/>
        </w:rPr>
        <w:t>f the baby boom generation lead</w:t>
      </w:r>
      <w:r w:rsidR="0033302D" w:rsidRPr="006A56FF">
        <w:rPr>
          <w:lang w:val="en-US"/>
        </w:rPr>
        <w:t xml:space="preserve"> to an increase in the number of elderly people</w:t>
      </w:r>
      <w:r w:rsidR="00A04BA1" w:rsidRPr="006A56FF">
        <w:rPr>
          <w:lang w:val="en-US"/>
        </w:rPr>
        <w:t xml:space="preserve">, while a general higher </w:t>
      </w:r>
      <w:r w:rsidR="0092358D" w:rsidRPr="006A56FF">
        <w:rPr>
          <w:lang w:val="en-US"/>
        </w:rPr>
        <w:t xml:space="preserve">life expectancy </w:t>
      </w:r>
      <w:r w:rsidR="0033302D" w:rsidRPr="006A56FF">
        <w:rPr>
          <w:lang w:val="en-US"/>
        </w:rPr>
        <w:t>will in many cases increase the</w:t>
      </w:r>
      <w:r w:rsidR="0092358D" w:rsidRPr="006A56FF">
        <w:rPr>
          <w:lang w:val="en-US"/>
        </w:rPr>
        <w:t xml:space="preserve"> </w:t>
      </w:r>
      <w:r w:rsidR="0092131F" w:rsidRPr="006A56FF">
        <w:rPr>
          <w:lang w:val="en-US"/>
        </w:rPr>
        <w:t>duration of time in</w:t>
      </w:r>
      <w:r w:rsidR="0033302D" w:rsidRPr="006A56FF">
        <w:rPr>
          <w:lang w:val="en-US"/>
        </w:rPr>
        <w:t xml:space="preserve"> which LTC services are needed</w:t>
      </w:r>
      <w:r w:rsidR="0092131F" w:rsidRPr="006A56FF">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A56FF">
            <w:rPr>
              <w:lang w:val="en-US"/>
            </w:rPr>
            <w:fldChar w:fldCharType="separate"/>
          </w:r>
          <w:r w:rsidR="00563976" w:rsidRPr="006A56FF">
            <w:rPr>
              <w:lang w:val="en-US"/>
            </w:rPr>
            <w:t>(Rechel et al., 2013; Colombo et al., 2011)</w:t>
          </w:r>
          <w:r w:rsidR="0064637A" w:rsidRPr="006A56FF">
            <w:rPr>
              <w:lang w:val="en-US"/>
            </w:rPr>
            <w:fldChar w:fldCharType="end"/>
          </w:r>
        </w:sdtContent>
      </w:sdt>
      <w:r w:rsidR="0092131F" w:rsidRPr="006A56FF">
        <w:rPr>
          <w:lang w:val="en-US"/>
        </w:rPr>
        <w:t>. Due to this expected double burde</w:t>
      </w:r>
      <w:r w:rsidR="00F90DFE" w:rsidRPr="006A56FF">
        <w:rPr>
          <w:lang w:val="en-US"/>
        </w:rPr>
        <w:t>n</w:t>
      </w:r>
      <w:r w:rsidR="00E96149" w:rsidRPr="006A56FF">
        <w:rPr>
          <w:lang w:val="en-US"/>
        </w:rPr>
        <w:t xml:space="preserve"> both the demand for LTC services will increase and with that also the costs for LTC </w:t>
      </w:r>
      <w:r w:rsidR="00A02BFB" w:rsidRPr="006A56FF">
        <w:rPr>
          <w:lang w:val="en-US"/>
        </w:rPr>
        <w:t>service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lang w:val="en-US"/>
            </w:rPr>
            <w:fldChar w:fldCharType="separate"/>
          </w:r>
          <w:r w:rsidR="00563976" w:rsidRPr="006A56FF">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 xml:space="preserve">ketization, economization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A56FF">
            <w:rPr>
              <w:lang w:val="en-US"/>
            </w:rPr>
            <w:fldChar w:fldCharType="begin"/>
          </w:r>
          <w:r w:rsidR="00563976" w:rsidRPr="006A56F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lang w:val="en-US"/>
            </w:rPr>
            <w:fldChar w:fldCharType="separate"/>
          </w:r>
          <w:r w:rsidR="00563976" w:rsidRPr="006A56FF">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Therefore, a new and updated LTC typology will include these changes and the results will help to grasp and categorize </w:t>
      </w:r>
      <w:r w:rsidR="00A02BFB" w:rsidRPr="006A56FF">
        <w:rPr>
          <w:lang w:val="en-US"/>
        </w:rPr>
        <w:t>them</w:t>
      </w:r>
      <w:r w:rsidR="001E64E8" w:rsidRPr="006A56FF">
        <w:rPr>
          <w:lang w:val="en-US"/>
        </w:rPr>
        <w:t>.</w:t>
      </w:r>
    </w:p>
    <w:p w14:paraId="708F4227" w14:textId="77777777" w:rsidR="00E00A57" w:rsidRDefault="00E00A57">
      <w:pPr>
        <w:spacing w:after="160" w:line="259" w:lineRule="auto"/>
        <w:rPr>
          <w:rFonts w:eastAsia="Times New Roman"/>
          <w:b/>
          <w:bCs/>
          <w:sz w:val="32"/>
          <w:szCs w:val="28"/>
          <w:lang w:val="en-US"/>
        </w:rPr>
      </w:pPr>
      <w:r>
        <w:rPr>
          <w:lang w:val="en-US"/>
        </w:rPr>
        <w:br w:type="page"/>
      </w:r>
    </w:p>
    <w:p w14:paraId="2F5CA8FB" w14:textId="675986A4" w:rsidR="001E64E8" w:rsidRPr="006A56FF" w:rsidRDefault="001E64E8" w:rsidP="004D303B">
      <w:pPr>
        <w:pStyle w:val="berschrift1"/>
        <w:rPr>
          <w:lang w:val="en-US"/>
        </w:rPr>
      </w:pPr>
      <w:r w:rsidRPr="006A56FF">
        <w:rPr>
          <w:lang w:val="en-US"/>
        </w:rPr>
        <w:lastRenderedPageBreak/>
        <w:t>Theory</w:t>
      </w:r>
      <w:r w:rsidR="00EB31E0" w:rsidRPr="006A56FF">
        <w:rPr>
          <w:lang w:val="en-US"/>
        </w:rPr>
        <w:t xml:space="preserve"> – </w:t>
      </w:r>
      <w:r w:rsidR="00E21111">
        <w:rPr>
          <w:lang w:val="en-US"/>
        </w:rPr>
        <w:t>1732</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77777777" w:rsidR="00B23D1F" w:rsidRPr="006A56FF" w:rsidRDefault="00504F64" w:rsidP="00E00A57">
      <w:pPr>
        <w:pStyle w:val="02FlietextErsterAbsatz"/>
        <w:rPr>
          <w:lang w:val="en-US"/>
        </w:rPr>
      </w:pPr>
      <w:r w:rsidRPr="006A56FF">
        <w:rPr>
          <w:lang w:val="en-US"/>
        </w:rPr>
        <w:t>When talking about LTC a clear definition is needed. The OECD</w:t>
      </w:r>
      <w:r w:rsidR="00774363" w:rsidRPr="006A56FF">
        <w:rPr>
          <w:lang w:val="en-US"/>
        </w:rPr>
        <w:t xml:space="preserve"> defines LTC as: </w:t>
      </w:r>
    </w:p>
    <w:p w14:paraId="0C9937E7" w14:textId="157706B6"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w:t>
      </w:r>
      <w:proofErr w:type="gramStart"/>
      <w:r w:rsidRPr="006A56FF">
        <w:rPr>
          <w:lang w:val="en-US"/>
        </w:rPr>
        <w:t>period of time</w:t>
      </w:r>
      <w:proofErr w:type="gramEnd"/>
      <w:r w:rsidRPr="006A56FF">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lang w:val="en-US"/>
            </w:rPr>
            <w:fldChar w:fldCharType="separate"/>
          </w:r>
          <w:r w:rsidR="00563976" w:rsidRPr="006A56FF">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2DAF0EB7"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lang w:val="en-US"/>
            </w:rPr>
            <w:fldChar w:fldCharType="separate"/>
          </w:r>
          <w:r w:rsidR="00563976" w:rsidRPr="006A56FF">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are </w:t>
      </w:r>
      <w:proofErr w:type="gramStart"/>
      <w:r w:rsidR="00774363" w:rsidRPr="006A56FF">
        <w:rPr>
          <w:lang w:val="en-US"/>
        </w:rPr>
        <w:t>highly important</w:t>
      </w:r>
      <w:proofErr w:type="gramEnd"/>
      <w:r w:rsidR="00522322" w:rsidRPr="006A56FF">
        <w:rPr>
          <w:lang w:val="en-US"/>
        </w:rPr>
        <w:t xml:space="preserve"> for the elderly</w:t>
      </w:r>
      <w:r w:rsidR="00774363" w:rsidRPr="006A56FF">
        <w:rPr>
          <w:lang w:val="en-US"/>
        </w:rPr>
        <w:t xml:space="preserve"> and </w:t>
      </w:r>
      <w:r w:rsidR="0033302D" w:rsidRPr="006A56FF">
        <w:rPr>
          <w:lang w:val="en-US"/>
        </w:rPr>
        <w:t xml:space="preserve">therefore </w:t>
      </w:r>
      <w:r w:rsidR="00774363" w:rsidRPr="006A56FF">
        <w:rPr>
          <w:lang w:val="en-US"/>
        </w:rPr>
        <w:t>we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269DC3CB"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a common </w:t>
      </w:r>
      <w:r w:rsidR="00B23D1F" w:rsidRPr="006A56FF">
        <w:rPr>
          <w:lang w:val="en-US"/>
        </w:rPr>
        <w:t>endeavor</w:t>
      </w:r>
      <w:r w:rsidR="00774363" w:rsidRPr="006A56FF">
        <w:rPr>
          <w:lang w:val="en-US"/>
        </w:rPr>
        <w:t xml:space="preserve"> in welfare state research.</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proofErr w:type="gramStart"/>
      <w:r w:rsidR="00BB65C1" w:rsidRPr="006A56FF">
        <w:rPr>
          <w:lang w:val="en-US"/>
        </w:rPr>
        <w:t>a number of</w:t>
      </w:r>
      <w:proofErr w:type="gramEnd"/>
      <w:r w:rsidR="00BB65C1" w:rsidRPr="006A56FF">
        <w:rPr>
          <w:lang w:val="en-US"/>
        </w:rPr>
        <w:t xml:space="preserve">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may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generally, in which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on LTC for the elderly, although often (due to data reasons) als</w:t>
      </w:r>
      <w:r w:rsidR="00BD0E63" w:rsidRPr="006A56FF">
        <w:rPr>
          <w:lang w:val="en-US"/>
        </w:rPr>
        <w:t>o</w:t>
      </w:r>
      <w:r w:rsidR="00BB65C1" w:rsidRPr="006A56FF">
        <w:rPr>
          <w:lang w:val="en-US"/>
        </w:rPr>
        <w:t xml:space="preserve"> </w:t>
      </w:r>
      <w:r w:rsidR="00BD0E63" w:rsidRPr="006A56FF">
        <w:rPr>
          <w:lang w:val="en-US"/>
        </w:rPr>
        <w:t>disability</w:t>
      </w:r>
      <w:r w:rsidR="00BB65C1" w:rsidRPr="006A56FF">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2A4B22">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2A4B22">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BB65C1"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 xml:space="preserve">(Anderson, 2012; Da Roit and </w:t>
          </w:r>
          <w:r w:rsidR="00563976" w:rsidRPr="006A56FF">
            <w:rPr>
              <w:lang w:val="en-US"/>
            </w:rPr>
            <w:lastRenderedPageBreak/>
            <w:t>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518F9579" w14:textId="090C2113" w:rsidR="00B82577" w:rsidRPr="006A56FF" w:rsidRDefault="00D661E1" w:rsidP="00B82577">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us. In these typologies we see a huge variety in the (number of) included country cases, data, </w:t>
      </w:r>
      <w:proofErr w:type="gramStart"/>
      <w:r w:rsidR="00B41CC2" w:rsidRPr="006A56FF">
        <w:rPr>
          <w:lang w:val="en-US"/>
        </w:rPr>
        <w:t>methods</w:t>
      </w:r>
      <w:proofErr w:type="gramEnd"/>
      <w:r w:rsidR="00B41CC2" w:rsidRPr="006A56FF">
        <w:rPr>
          <w:lang w:val="en-US"/>
        </w:rPr>
        <w:t xml:space="preserve"> and results.</w:t>
      </w:r>
      <w:r w:rsidR="00B82577" w:rsidRPr="006A56FF">
        <w:rPr>
          <w:lang w:val="en-US"/>
        </w:rPr>
        <w:t xml:space="preserve"> </w:t>
      </w:r>
      <w:r w:rsidR="00B41CC2" w:rsidRPr="006A56FF">
        <w:rPr>
          <w:lang w:val="en-US"/>
        </w:rPr>
        <w:t>Concerning dimensions and indicators, we see a huge variety</w:t>
      </w:r>
      <w:r w:rsidR="004D1F35" w:rsidRPr="006A56FF">
        <w:rPr>
          <w:lang w:val="en-US"/>
        </w:rPr>
        <w:t xml:space="preserve"> of indicators and measurements</w:t>
      </w:r>
      <w:r w:rsidR="000C097C" w:rsidRPr="006A56FF">
        <w:rPr>
          <w:lang w:val="en-US"/>
        </w:rPr>
        <w:t xml:space="preserve"> as well</w:t>
      </w:r>
      <w:r w:rsidR="004D1F35" w:rsidRPr="006A56FF">
        <w:rPr>
          <w:lang w:val="en-US"/>
        </w:rPr>
        <w:t xml:space="preserve">. </w:t>
      </w:r>
      <w:r w:rsidR="000C097C" w:rsidRPr="006A56FF">
        <w:rPr>
          <w:lang w:val="en-US"/>
        </w:rPr>
        <w:t>However,</w:t>
      </w:r>
      <w:r w:rsidR="004D1F35" w:rsidRPr="006A56FF">
        <w:rPr>
          <w:lang w:val="en-US"/>
        </w:rPr>
        <w:t xml:space="preserve"> we also observe four central dimensions, which are repeatedly analyzed in most of the studies</w:t>
      </w:r>
      <w:r w:rsidR="00B41CC2" w:rsidRPr="006A56FF">
        <w:rPr>
          <w:lang w:val="en-US"/>
        </w:rPr>
        <w:t xml:space="preserve">. </w:t>
      </w:r>
    </w:p>
    <w:p w14:paraId="4614FCA4" w14:textId="77777777" w:rsidR="00B82577" w:rsidRPr="006A56FF" w:rsidRDefault="00B82577" w:rsidP="00B82577">
      <w:pPr>
        <w:pStyle w:val="02FlietextEinzug"/>
        <w:rPr>
          <w:lang w:val="en-US"/>
        </w:rPr>
      </w:pPr>
    </w:p>
    <w:p w14:paraId="09CC9C03" w14:textId="77777777" w:rsidR="00B82577" w:rsidRPr="006A56FF" w:rsidRDefault="00B82577" w:rsidP="00B82577">
      <w:pPr>
        <w:pStyle w:val="berschrift3"/>
        <w:rPr>
          <w:lang w:val="en-US"/>
        </w:rPr>
      </w:pPr>
      <w:r w:rsidRPr="006A56FF">
        <w:rPr>
          <w:lang w:val="en-US"/>
        </w:rPr>
        <w:t>I. Supply</w:t>
      </w:r>
    </w:p>
    <w:p w14:paraId="0989CA2D" w14:textId="25704635" w:rsidR="00B82577" w:rsidRPr="006A56FF" w:rsidRDefault="00B82577" w:rsidP="00B82577">
      <w:pPr>
        <w:pStyle w:val="02FlietextEinzug"/>
        <w:rPr>
          <w:lang w:val="en-US"/>
        </w:rPr>
      </w:pPr>
      <w:r w:rsidRPr="00B82577">
        <w:rPr>
          <w:lang w:val="en-US"/>
        </w:rPr>
        <w:t xml:space="preserve">The first is supply. It includes financial resources in most typologies </w:t>
      </w:r>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r w:rsidRPr="006A56FF">
        <w:rPr>
          <w:lang w:val="en-US"/>
        </w:rPr>
        <w:t xml:space="preserve">We therefore use LTC expenditure (health) per capita in US$ of purchasing power parities as a measure of financial input into the system. It includes all expenditure on bodily related LTC, mainly on “(basic) Activities of daily living (ADL)” like bathing, </w:t>
      </w:r>
      <w:proofErr w:type="gramStart"/>
      <w:r w:rsidRPr="006A56FF">
        <w:rPr>
          <w:lang w:val="en-US"/>
        </w:rPr>
        <w:t>dressing</w:t>
      </w:r>
      <w:proofErr w:type="gramEnd"/>
      <w:r w:rsidRPr="006A56FF">
        <w:rPr>
          <w:lang w:val="en-US"/>
        </w:rPr>
        <w:t xml:space="preserve">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p>
    <w:p w14:paraId="061DE4D6" w14:textId="77777777" w:rsidR="00B82577" w:rsidRPr="006A56FF" w:rsidRDefault="00B82577" w:rsidP="00B82577">
      <w:pPr>
        <w:pStyle w:val="02FlietextEinzug"/>
        <w:rPr>
          <w:lang w:val="en-US"/>
        </w:rPr>
      </w:pPr>
      <w:r w:rsidRPr="006A56FF">
        <w:rPr>
          <w:lang w:val="en-US"/>
        </w:rPr>
        <w:lastRenderedPageBreak/>
        <w:t>We further include the number of LTC beds per 1000 population aged 65 or older as institutional supply of services and the number of LTC recipients in institutions measured as the percentage of all people aged 65 years and older as a measure of actual supply of spots in these facilities.</w:t>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77777777" w:rsidR="00981837" w:rsidRPr="006A56FF" w:rsidRDefault="00981837" w:rsidP="00981837">
      <w:pPr>
        <w:pStyle w:val="02FlietextErsterAbsatz"/>
        <w:rPr>
          <w:lang w:val="en-US"/>
        </w:rPr>
      </w:pPr>
      <w:r w:rsidRPr="006A56FF">
        <w:rPr>
          <w:lang w:val="en-US"/>
        </w:rPr>
        <w:t xml:space="preserve">The second dimension operationalizes the role of the state and of private actors. Another dimension is the public-private mix of the systems, which is often part of healthcare typologies </w:t>
      </w:r>
      <w:sdt>
        <w:sdtPr>
          <w:rPr>
            <w:lang w:val="en-US"/>
          </w:rPr>
          <w:alias w:val="Don't edit this field"/>
          <w:tag w:val="CitaviPlaceholder#63f4d45c-a028-48af-9b7e-36b89049c0bd"/>
          <w:id w:val="-1456867775"/>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6A56FF">
            <w:rPr>
              <w:lang w:val="en-US"/>
            </w:rPr>
            <w:fldChar w:fldCharType="separate"/>
          </w:r>
          <w:r w:rsidRPr="006A56FF">
            <w:rPr>
              <w:lang w:val="en-US"/>
            </w:rPr>
            <w:t>(Reibling et al., 2019)</w:t>
          </w:r>
          <w:r w:rsidRPr="006A56FF">
            <w:rPr>
              <w:lang w:val="en-US"/>
            </w:rPr>
            <w:fldChar w:fldCharType="end"/>
          </w:r>
        </w:sdtContent>
      </w:sdt>
      <w:r w:rsidRPr="006A56FF">
        <w:rPr>
          <w:lang w:val="en-US"/>
        </w:rPr>
        <w:t xml:space="preserve">. Thus,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Pr="006A56FF">
            <w:rPr>
              <w:lang w:val="en-US"/>
            </w:rPr>
            <w:fldChar w:fldCharType="separate"/>
          </w:r>
          <w:r w:rsidRPr="006A56FF">
            <w:rPr>
              <w:lang w:val="en-US"/>
            </w:rPr>
            <w:t>(Anderson, 2012)</w:t>
          </w:r>
          <w:r w:rsidRPr="006A56FF">
            <w:rPr>
              <w:lang w:val="en-US"/>
            </w:rPr>
            <w:fldChar w:fldCharType="end"/>
          </w:r>
        </w:sdtContent>
      </w:sdt>
      <w:r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Pr="006A56FF">
            <w:rPr>
              <w:lang w:val="en-US"/>
            </w:rPr>
            <w:fldChar w:fldCharType="separate"/>
          </w:r>
          <w:r w:rsidRPr="006A56FF">
            <w:rPr>
              <w:lang w:val="en-US"/>
            </w:rPr>
            <w:t>(Bettio and Plantenga, 2004)</w:t>
          </w:r>
          <w:r w:rsidRPr="006A56FF">
            <w:rPr>
              <w:lang w:val="en-US"/>
            </w:rPr>
            <w:fldChar w:fldCharType="end"/>
          </w:r>
        </w:sdtContent>
      </w:sdt>
      <w:r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Pr="006A56FF">
            <w:rPr>
              <w:lang w:val="en-US"/>
            </w:rPr>
            <w:fldChar w:fldCharType="separate"/>
          </w:r>
          <w:r w:rsidRPr="006A56FF">
            <w:rPr>
              <w:lang w:val="en-US"/>
            </w:rPr>
            <w:t>(van Hooren, 2012)</w:t>
          </w:r>
          <w:r w:rsidRPr="006A56FF">
            <w:rPr>
              <w:lang w:val="en-US"/>
            </w:rPr>
            <w:fldChar w:fldCharType="end"/>
          </w:r>
        </w:sdtContent>
      </w:sdt>
      <w:r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w:t>
      </w:r>
    </w:p>
    <w:p w14:paraId="15751727" w14:textId="000C89DF" w:rsidR="00981837" w:rsidRPr="006A56FF" w:rsidRDefault="00981837" w:rsidP="00981837">
      <w:pPr>
        <w:pStyle w:val="02FlietextEinzug"/>
        <w:rPr>
          <w:lang w:val="en-US"/>
        </w:rPr>
      </w:pPr>
      <w:r w:rsidRPr="00981837">
        <w:rPr>
          <w:lang w:val="en-US"/>
        </w:rPr>
        <w:t xml:space="preserve">The share of private (voluntary and out-of-pocket) expenditure in the total expenditure is included as a measure of public and private involvement in payments for care. We also adopt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Pr="00981837">
            <w:rPr>
              <w:lang w:val="en-US"/>
            </w:rPr>
            <w:fldChar w:fldCharType="begin"/>
          </w:r>
          <w:r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Pr="00981837">
            <w:rPr>
              <w:lang w:val="en-US"/>
            </w:rPr>
            <w:fldChar w:fldCharType="separate"/>
          </w:r>
          <w:r w:rsidRPr="00981837">
            <w:rPr>
              <w:lang w:val="en-US"/>
            </w:rPr>
            <w:t>(Da Roit and Le Bihan, 2010; Da Roit and Weicht, 2013)</w:t>
          </w:r>
          <w:r w:rsidRPr="00981837">
            <w:rPr>
              <w:lang w:val="en-US"/>
            </w:rPr>
            <w:fldChar w:fldCharType="end"/>
          </w:r>
        </w:sdtContent>
      </w:sdt>
      <w:r w:rsidRPr="00981837">
        <w:rPr>
          <w:lang w:val="en-US"/>
        </w:rPr>
        <w:t>.</w:t>
      </w:r>
    </w:p>
    <w:p w14:paraId="3C4F7E80" w14:textId="77777777" w:rsidR="00981837" w:rsidRPr="00981837" w:rsidRDefault="00981837" w:rsidP="00C3311E">
      <w:pPr>
        <w:pStyle w:val="berschrift3"/>
        <w:rPr>
          <w:lang w:val="en-US"/>
        </w:rPr>
      </w:pPr>
      <w:r w:rsidRPr="00981837">
        <w:rPr>
          <w:lang w:val="en-US"/>
        </w:rPr>
        <w:t>III. Access regulation</w:t>
      </w:r>
    </w:p>
    <w:p w14:paraId="50B4DB60" w14:textId="77777777"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Restrictions in the systems may, however, pose barriers especially for lower social status groups to access care. Common barriers are means-testing of benefits and limitations of choice. We use three means-testing indicators: means testing-for cash-</w:t>
      </w:r>
      <w:r w:rsidRPr="00981837">
        <w:rPr>
          <w:lang w:val="en-US"/>
        </w:rPr>
        <w:lastRenderedPageBreak/>
        <w:t xml:space="preserve">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w:t>
      </w:r>
      <w:proofErr w:type="gramStart"/>
      <w:r w:rsidRPr="00981837">
        <w:rPr>
          <w:lang w:val="en-US"/>
        </w:rPr>
        <w:t>are:</w:t>
      </w:r>
      <w:proofErr w:type="gramEnd"/>
      <w:r w:rsidRPr="00981837">
        <w:rPr>
          <w:lang w:val="en-US"/>
        </w:rPr>
        <w:t xml:space="preserve"> choice of homes-care provider, choice of institutional care provider and choice between cash and in-kind benefits. </w:t>
      </w:r>
    </w:p>
    <w:p w14:paraId="4550DAC6" w14:textId="77777777" w:rsidR="00981837" w:rsidRPr="00981837" w:rsidRDefault="00981837" w:rsidP="00C3311E">
      <w:pPr>
        <w:pStyle w:val="berschrift3"/>
        <w:rPr>
          <w:lang w:val="en-US"/>
        </w:rPr>
      </w:pPr>
      <w:r w:rsidRPr="00981837">
        <w:rPr>
          <w:lang w:val="en-US"/>
        </w:rPr>
        <w:t>IV. Performance</w:t>
      </w:r>
    </w:p>
    <w:p w14:paraId="7C11DB51" w14:textId="349446AE" w:rsidR="00981837" w:rsidRPr="00981837" w:rsidRDefault="00981837" w:rsidP="00E00A57">
      <w:pPr>
        <w:pStyle w:val="02FlietextEinzug"/>
        <w:rPr>
          <w:lang w:val="en-US"/>
        </w:rPr>
      </w:pPr>
      <w:r w:rsidRPr="00981837">
        <w:rPr>
          <w:lang w:val="en-US"/>
        </w:rPr>
        <w: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t>
      </w:r>
      <w:sdt>
        <w:sdtPr>
          <w:rPr>
            <w:lang w:val="en-US"/>
          </w:rPr>
          <w:alias w:val="Don't edit this field"/>
          <w:tag w:val="CitaviPlaceholder#ba5f5eae-8f16-495a-b77d-ce6eaacf071d"/>
          <w:id w:val="-2031638061"/>
          <w:placeholder>
            <w:docPart w:val="4A126922C5E8420F94D41E05C0FCC909"/>
          </w:placeholder>
        </w:sdtPr>
        <w:sdtContent>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sdtContent>
      </w:sdt>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sdt>
        <w:sdtPr>
          <w:rPr>
            <w:lang w:val="en-US"/>
          </w:rPr>
          <w:alias w:val="Don't edit this field"/>
          <w:tag w:val="CitaviPlaceholder#4f6507b0-994b-4a4d-a2c5-6c895c50471e"/>
          <w:id w:val="170922594"/>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sdtContent>
      </w:sdt>
      <w:r w:rsidRPr="00981837">
        <w:rPr>
          <w:lang w:val="en-US"/>
        </w:rPr>
        <w:t xml:space="preserve"> </w:t>
      </w:r>
      <w:sdt>
        <w:sdtPr>
          <w:rPr>
            <w:lang w:val="en-US"/>
          </w:rPr>
          <w:alias w:val="Don't edit this field"/>
          <w:tag w:val="CitaviPlaceholder#366c3fd7-1be6-422f-9025-3745f6ceef0c"/>
          <w:id w:val="-296231817"/>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sdtContent>
      </w:sdt>
      <w:r w:rsidRPr="00981837">
        <w:rPr>
          <w:lang w:val="en-US"/>
        </w:rPr>
        <w:t xml:space="preserve"> the percentage of the population who are 65 or older, who perceive their health as good or very good.</w:t>
      </w:r>
    </w:p>
    <w:p w14:paraId="6CE852C5" w14:textId="4C29A829" w:rsidR="00C9734F" w:rsidRPr="006A56FF" w:rsidRDefault="00765EF3" w:rsidP="00B82577">
      <w:pPr>
        <w:pStyle w:val="02FlietextEinzug"/>
        <w:rPr>
          <w:lang w:val="en-US"/>
        </w:rPr>
      </w:pPr>
      <w:r w:rsidRPr="006A56FF">
        <w:rPr>
          <w:lang w:val="en-US"/>
        </w:rPr>
        <w:t>Although q</w:t>
      </w:r>
      <w:r w:rsidR="00B41CC2" w:rsidRPr="006A56FF">
        <w:rPr>
          <w:lang w:val="en-US"/>
        </w:rPr>
        <w:t xml:space="preserve">uality and performance indicators </w:t>
      </w:r>
      <w:r w:rsidR="00673314" w:rsidRPr="006A56FF">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A56FF">
            <w:rPr>
              <w:lang w:val="en-US"/>
            </w:rPr>
            <w:fldChar w:fldCharType="begin"/>
          </w:r>
          <w:r w:rsidR="00673314" w:rsidRPr="006A56FF">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A56FF">
            <w:rPr>
              <w:lang w:val="en-US"/>
            </w:rPr>
            <w:fldChar w:fldCharType="separate"/>
          </w:r>
          <w:r w:rsidR="00673314" w:rsidRPr="006A56FF">
            <w:rPr>
              <w:lang w:val="en-US"/>
            </w:rPr>
            <w:t>(Halfens et al., 2013)</w:t>
          </w:r>
          <w:r w:rsidR="00673314" w:rsidRPr="006A56FF">
            <w:rPr>
              <w:lang w:val="en-US"/>
            </w:rPr>
            <w:fldChar w:fldCharType="end"/>
          </w:r>
        </w:sdtContent>
      </w:sdt>
      <w:r w:rsidRPr="006A56FF">
        <w:rPr>
          <w:lang w:val="en-US"/>
        </w:rPr>
        <w:t>,</w:t>
      </w:r>
      <w:r w:rsidR="00C9734F" w:rsidRPr="006A56FF">
        <w:rPr>
          <w:lang w:val="en-US"/>
        </w:rPr>
        <w:t xml:space="preserve"> </w:t>
      </w:r>
      <w:r w:rsidR="00B41CC2" w:rsidRPr="006A56FF">
        <w:rPr>
          <w:lang w:val="en-US"/>
        </w:rPr>
        <w:t xml:space="preserve">some typologies </w:t>
      </w:r>
      <w:r w:rsidRPr="006A56FF">
        <w:rPr>
          <w:lang w:val="en-US"/>
        </w:rPr>
        <w:t xml:space="preserve">still </w:t>
      </w:r>
      <w:r w:rsidR="00673314" w:rsidRPr="006A56FF">
        <w:rPr>
          <w:lang w:val="en-US"/>
        </w:rPr>
        <w:t xml:space="preserve">include </w:t>
      </w:r>
      <w:r w:rsidR="00522322" w:rsidRPr="006A56FF">
        <w:rPr>
          <w:lang w:val="en-US"/>
        </w:rPr>
        <w:t>quality indicators</w:t>
      </w:r>
      <w:r w:rsidRPr="006A56FF">
        <w:rPr>
          <w:lang w:val="en-US"/>
        </w:rPr>
        <w:t xml:space="preserve"> in their classification systems</w:t>
      </w:r>
      <w:r w:rsidR="00C9734F" w:rsidRPr="006A56FF">
        <w:rPr>
          <w:lang w:val="en-US"/>
        </w:rPr>
        <w:t>.</w:t>
      </w:r>
      <w:r w:rsidR="00B41CC2" w:rsidRPr="006A56FF">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A56FF">
            <w:rPr>
              <w:lang w:val="en-US"/>
            </w:rPr>
            <w:fldChar w:fldCharType="separate"/>
          </w:r>
          <w:r w:rsidR="00563976" w:rsidRPr="006A56FF">
            <w:rPr>
              <w:lang w:val="en-US"/>
            </w:rPr>
            <w:t>Damiani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A56FF">
            <w:rPr>
              <w:lang w:val="en-US"/>
            </w:rPr>
            <w:fldChar w:fldCharType="separate"/>
          </w:r>
          <w:r w:rsidR="00563976" w:rsidRPr="006A56FF">
            <w:rPr>
              <w:lang w:val="en-US"/>
            </w:rPr>
            <w:t>(2011)</w:t>
          </w:r>
          <w:r w:rsidR="00B41CC2" w:rsidRPr="006A56FF">
            <w:rPr>
              <w:lang w:val="en-US"/>
            </w:rPr>
            <w:fldChar w:fldCharType="end"/>
          </w:r>
        </w:sdtContent>
      </w:sdt>
      <w:r w:rsidR="00C9734F" w:rsidRPr="006A56FF">
        <w:rPr>
          <w:lang w:val="en-US"/>
        </w:rPr>
        <w:t xml:space="preserve"> </w:t>
      </w:r>
      <w:r w:rsidR="00D661E1" w:rsidRPr="006A56FF">
        <w:rPr>
          <w:lang w:val="en-US"/>
        </w:rPr>
        <w:t>for example</w:t>
      </w:r>
      <w:r w:rsidR="00B41CC2" w:rsidRPr="006A56FF">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A56FF">
            <w:rPr>
              <w:lang w:val="en-US"/>
            </w:rPr>
            <w:fldChar w:fldCharType="separate"/>
          </w:r>
          <w:r w:rsidR="00563976" w:rsidRPr="006A56FF">
            <w:rPr>
              <w:lang w:val="en-US"/>
            </w:rPr>
            <w:t>Kraus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A56FF">
            <w:rPr>
              <w:lang w:val="en-US"/>
            </w:rPr>
            <w:fldChar w:fldCharType="separate"/>
          </w:r>
          <w:r w:rsidR="00563976" w:rsidRPr="006A56FF">
            <w:rPr>
              <w:lang w:val="en-US"/>
            </w:rPr>
            <w:t>(2010)</w:t>
          </w:r>
          <w:r w:rsidR="00B41CC2" w:rsidRPr="006A56FF">
            <w:rPr>
              <w:lang w:val="en-US"/>
            </w:rPr>
            <w:fldChar w:fldCharType="end"/>
          </w:r>
        </w:sdtContent>
      </w:sdt>
      <w:r w:rsidR="00B41CC2" w:rsidRPr="006A56FF">
        <w:rPr>
          <w:lang w:val="en-US"/>
        </w:rPr>
        <w:t xml:space="preserve"> </w:t>
      </w:r>
      <w:r w:rsidR="00C9734F" w:rsidRPr="006A56FF">
        <w:rPr>
          <w:lang w:val="en-US"/>
        </w:rPr>
        <w:t>take</w:t>
      </w:r>
      <w:r w:rsidR="00B41CC2" w:rsidRPr="006A56FF">
        <w:rPr>
          <w:lang w:val="en-US"/>
        </w:rPr>
        <w:t xml:space="preserve"> institutional indicators of mandatory quality assurance systems and the degree and functioning of integrated services. </w:t>
      </w:r>
    </w:p>
    <w:p w14:paraId="38605CF6" w14:textId="76465B41" w:rsidR="00B41CC2" w:rsidRPr="006A56FF" w:rsidRDefault="00765EF3" w:rsidP="00B82577">
      <w:pPr>
        <w:pStyle w:val="02FlietextEinzug"/>
        <w:rPr>
          <w:lang w:val="en-US"/>
        </w:rPr>
      </w:pPr>
      <w:r w:rsidRPr="006A56FF">
        <w:rPr>
          <w:lang w:val="en-US"/>
        </w:rPr>
        <w:t>In contrast to th</w:t>
      </w:r>
      <w:r w:rsidR="00C9734F" w:rsidRPr="006A56FF">
        <w:rPr>
          <w:lang w:val="en-US"/>
        </w:rPr>
        <w:t>ese</w:t>
      </w:r>
      <w:r w:rsidRPr="006A56FF">
        <w:rPr>
          <w:lang w:val="en-US"/>
        </w:rPr>
        <w:t xml:space="preserve"> quantitative</w:t>
      </w:r>
      <w:r w:rsidR="00C9734F" w:rsidRPr="006A56FF">
        <w:rPr>
          <w:lang w:val="en-US"/>
        </w:rPr>
        <w:t xml:space="preserve"> OECD and Eurostat</w:t>
      </w:r>
      <w:r w:rsidRPr="006A56FF">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A56FF">
            <w:rPr>
              <w:lang w:val="en-US"/>
            </w:rPr>
            <w:fldChar w:fldCharType="begin"/>
          </w:r>
          <w:r w:rsidRPr="006A56FF">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A56FF">
            <w:rPr>
              <w:lang w:val="en-US"/>
            </w:rPr>
            <w:fldChar w:fldCharType="separate"/>
          </w:r>
          <w:r w:rsidRPr="006A56FF">
            <w:rPr>
              <w:lang w:val="en-US"/>
            </w:rPr>
            <w:t>(Alber, 1995; Colombo, 2012; Damiani et al., 2011; Kraus et al., 2010)</w:t>
          </w:r>
          <w:r w:rsidRPr="006A56FF">
            <w:rPr>
              <w:lang w:val="en-US"/>
            </w:rPr>
            <w:fldChar w:fldCharType="end"/>
          </w:r>
        </w:sdtContent>
      </w:sdt>
      <w:r w:rsidRPr="006A56FF">
        <w:rPr>
          <w:lang w:val="en-US"/>
        </w:rPr>
        <w:t>,</w:t>
      </w:r>
      <w:r w:rsidR="00973D25" w:rsidRPr="006A56FF">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A56FF">
            <w:rPr>
              <w:lang w:val="en-US"/>
            </w:rPr>
            <w:fldChar w:fldCharType="separate"/>
          </w:r>
          <w:r w:rsidR="00563976" w:rsidRPr="006A56FF">
            <w:rPr>
              <w:lang w:val="en-US"/>
            </w:rPr>
            <w:t>Pommer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A56FF">
            <w:rPr>
              <w:lang w:val="en-US"/>
            </w:rPr>
            <w:fldChar w:fldCharType="separate"/>
          </w:r>
          <w:r w:rsidR="00563976" w:rsidRPr="006A56FF">
            <w:rPr>
              <w:lang w:val="en-US"/>
            </w:rPr>
            <w:t>(2009)</w:t>
          </w:r>
          <w:r w:rsidR="00973D25" w:rsidRPr="006A56FF">
            <w:rPr>
              <w:lang w:val="en-US"/>
            </w:rPr>
            <w:fldChar w:fldCharType="end"/>
          </w:r>
        </w:sdtContent>
      </w:sdt>
      <w:r w:rsidR="00973D25" w:rsidRPr="006A56FF">
        <w:rPr>
          <w:lang w:val="en-US"/>
        </w:rPr>
        <w:t xml:space="preserve"> </w:t>
      </w:r>
      <w:r w:rsidR="00C9734F" w:rsidRPr="006A56FF">
        <w:rPr>
          <w:lang w:val="en-US"/>
        </w:rPr>
        <w:t>utilize</w:t>
      </w:r>
      <w:r w:rsidR="00973D25" w:rsidRPr="006A56FF">
        <w:rPr>
          <w:lang w:val="en-US"/>
        </w:rPr>
        <w:t xml:space="preserve"> Share-Data</w:t>
      </w:r>
      <w:r w:rsidRPr="006A56FF">
        <w:rPr>
          <w:lang w:val="en-US"/>
        </w:rPr>
        <w:t xml:space="preserve"> (micro-data)</w:t>
      </w:r>
      <w:r w:rsidR="00973D25" w:rsidRPr="006A56FF">
        <w:rPr>
          <w:lang w:val="en-US"/>
        </w:rPr>
        <w:t xml:space="preserve"> for their typology</w:t>
      </w:r>
      <w:r w:rsidRPr="006A56FF">
        <w:rPr>
          <w:lang w:val="en-US"/>
        </w:rPr>
        <w:t xml:space="preserve">. And </w:t>
      </w:r>
      <w:r w:rsidRPr="006A56FF">
        <w:rPr>
          <w:lang w:val="en-US"/>
        </w:rPr>
        <w:lastRenderedPageBreak/>
        <w:t>solely</w:t>
      </w:r>
      <w:r w:rsidR="00973D25" w:rsidRPr="006A56FF">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A56FF">
            <w:rPr>
              <w:lang w:val="en-US"/>
            </w:rPr>
            <w:fldChar w:fldCharType="separate"/>
          </w:r>
          <w:r w:rsidR="00563976" w:rsidRPr="006A56FF">
            <w:rPr>
              <w:lang w:val="en-US"/>
            </w:rPr>
            <w:t>Kraus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w:t>
      </w:r>
      <w:r w:rsidR="00C9734F" w:rsidRPr="006A56FF">
        <w:rPr>
          <w:lang w:val="en-US"/>
        </w:rPr>
        <w:t xml:space="preserve">adopts quantitative </w:t>
      </w:r>
      <w:r w:rsidR="00C9734F" w:rsidRPr="006A56FF">
        <w:rPr>
          <w:i/>
          <w:lang w:val="en-US"/>
        </w:rPr>
        <w:t>as well as</w:t>
      </w:r>
      <w:r w:rsidR="000F6DC1" w:rsidRPr="006A56FF">
        <w:rPr>
          <w:lang w:val="en-US"/>
        </w:rPr>
        <w:t xml:space="preserve"> qualitative data on</w:t>
      </w:r>
      <w:r w:rsidR="00973D25" w:rsidRPr="006A56FF">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A56FF">
            <w:rPr>
              <w:lang w:val="en-US"/>
            </w:rPr>
            <w:fldChar w:fldCharType="separate"/>
          </w:r>
          <w:r w:rsidR="00563976" w:rsidRPr="006A56FF">
            <w:rPr>
              <w:lang w:val="en-US"/>
            </w:rPr>
            <w:t>(Reibling, 2010; Reibling et al., 2019)</w:t>
          </w:r>
          <w:r w:rsidR="00973D25" w:rsidRPr="006A56FF">
            <w:rPr>
              <w:lang w:val="en-US"/>
            </w:rPr>
            <w:fldChar w:fldCharType="end"/>
          </w:r>
        </w:sdtContent>
      </w:sdt>
      <w:r w:rsidR="00973D25" w:rsidRPr="006A56FF">
        <w:rPr>
          <w:lang w:val="en-US"/>
        </w:rPr>
        <w:t xml:space="preserve"> and is </w:t>
      </w:r>
      <w:r w:rsidR="00CB5610" w:rsidRPr="006A56FF">
        <w:rPr>
          <w:lang w:val="en-US"/>
        </w:rPr>
        <w:t>operationalized</w:t>
      </w:r>
      <w:r w:rsidR="00973D25" w:rsidRPr="006A56FF">
        <w:rPr>
          <w:lang w:val="en-US"/>
        </w:rPr>
        <w:t xml:space="preserve"> via </w:t>
      </w:r>
      <w:r w:rsidR="00B41CC2" w:rsidRPr="006A56FF">
        <w:rPr>
          <w:lang w:val="en-US"/>
        </w:rPr>
        <w:t>means-testing for benefits, entitlement to residential</w:t>
      </w:r>
      <w:r w:rsidR="00673314" w:rsidRPr="006A56FF">
        <w:rPr>
          <w:lang w:val="en-US"/>
        </w:rPr>
        <w:t xml:space="preserve"> care</w:t>
      </w:r>
      <w:r w:rsidR="00B41CC2" w:rsidRPr="006A56FF">
        <w:rPr>
          <w:lang w:val="en-US"/>
        </w:rPr>
        <w:t>, home-care benefits and cash benefits as well as choice restrictions</w:t>
      </w:r>
      <w:r w:rsidR="00973D25" w:rsidRPr="006A56FF">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A56FF">
            <w:rPr>
              <w:lang w:val="en-US"/>
            </w:rPr>
            <w:fldChar w:fldCharType="separate"/>
          </w:r>
          <w:r w:rsidR="00563976" w:rsidRPr="006A56FF">
            <w:rPr>
              <w:lang w:val="en-US"/>
            </w:rPr>
            <w:t>Kraus et al.'s</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typology</w:t>
      </w:r>
      <w:r w:rsidR="00B41CC2" w:rsidRPr="006A56FF">
        <w:rPr>
          <w:lang w:val="en-US"/>
        </w:rPr>
        <w:t>.</w:t>
      </w:r>
    </w:p>
    <w:p w14:paraId="3FA4C9D1" w14:textId="635C9723" w:rsidR="00FA3154" w:rsidRPr="006A56FF" w:rsidRDefault="00673314" w:rsidP="00B82577">
      <w:pPr>
        <w:pStyle w:val="02FlietextEinzug"/>
        <w:rPr>
          <w:lang w:val="en-US"/>
        </w:rPr>
      </w:pPr>
      <w:r w:rsidRPr="006A56FF">
        <w:rPr>
          <w:lang w:val="en-US"/>
        </w:rPr>
        <w:t xml:space="preserve">The </w:t>
      </w:r>
      <w:r w:rsidR="006E55FF" w:rsidRPr="006A56FF">
        <w:rPr>
          <w:lang w:val="en-US"/>
        </w:rPr>
        <w:t>results</w:t>
      </w:r>
      <w:r w:rsidRPr="006A56FF">
        <w:rPr>
          <w:lang w:val="en-US"/>
        </w:rPr>
        <w:t xml:space="preserve"> of these typologies are certainly influenced by their focus and aim but also by</w:t>
      </w:r>
      <w:r w:rsidR="006E55FF" w:rsidRPr="006A56FF">
        <w:rPr>
          <w:lang w:val="en-US"/>
        </w:rPr>
        <w:t xml:space="preserve"> the number of included countries. </w:t>
      </w:r>
      <w:r w:rsidR="00FA3154" w:rsidRPr="006A56FF">
        <w:rPr>
          <w:lang w:val="en-US"/>
        </w:rPr>
        <w:t xml:space="preserve">Some studies </w:t>
      </w:r>
      <w:r w:rsidR="00A02BFB" w:rsidRPr="006A56FF">
        <w:rPr>
          <w:lang w:val="en-US"/>
        </w:rPr>
        <w:t>included</w:t>
      </w:r>
      <w:r w:rsidR="00B14BB1" w:rsidRPr="006A56FF">
        <w:rPr>
          <w:lang w:val="en-US"/>
        </w:rPr>
        <w:t xml:space="preserve"> </w:t>
      </w:r>
      <w:r w:rsidR="00FA3154" w:rsidRPr="006A56FF">
        <w:rPr>
          <w:lang w:val="en-US"/>
        </w:rPr>
        <w:t xml:space="preserve">only about ten European/OECD </w:t>
      </w:r>
      <w:r w:rsidR="00B14BB1" w:rsidRPr="006A56FF">
        <w:rPr>
          <w:lang w:val="en-US"/>
        </w:rPr>
        <w:t xml:space="preserve">country cases </w:t>
      </w:r>
      <w:r w:rsidR="00EF3AEC" w:rsidRPr="006A56FF">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A56FF">
            <w:rPr>
              <w:lang w:val="en-US"/>
            </w:rPr>
            <w:fldChar w:fldCharType="separate"/>
          </w:r>
          <w:r w:rsidR="00563976" w:rsidRPr="006A56FF">
            <w:rPr>
              <w:lang w:val="en-US"/>
            </w:rPr>
            <w:t>(Alber, 1995; Halásková et al., 2017; Pommer et al., 2009)</w:t>
          </w:r>
          <w:r w:rsidR="00EF3AEC" w:rsidRPr="006A56FF">
            <w:rPr>
              <w:lang w:val="en-US"/>
            </w:rPr>
            <w:fldChar w:fldCharType="end"/>
          </w:r>
        </w:sdtContent>
      </w:sdt>
      <w:r w:rsidR="00B14BB1" w:rsidRPr="006A56FF">
        <w:rPr>
          <w:lang w:val="en-US"/>
        </w:rPr>
        <w:t xml:space="preserve"> </w:t>
      </w:r>
      <w:r w:rsidR="00FA3154" w:rsidRPr="006A56FF">
        <w:rPr>
          <w:lang w:val="en-US"/>
        </w:rPr>
        <w:t xml:space="preserve">while others analyzed </w:t>
      </w:r>
      <w:r w:rsidR="00B14BB1" w:rsidRPr="006A56FF">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A56FF">
            <w:rPr>
              <w:lang w:val="en-US"/>
            </w:rPr>
            <w:fldChar w:fldCharType="separate"/>
          </w:r>
          <w:r w:rsidR="00563976" w:rsidRPr="006A56FF">
            <w:rPr>
              <w:lang w:val="en-US"/>
            </w:rPr>
            <w:t>(Damiani et al., 2011; Kraus et al., 2010)</w:t>
          </w:r>
          <w:r w:rsidR="00EF3AEC" w:rsidRPr="006A56FF">
            <w:rPr>
              <w:lang w:val="en-US"/>
            </w:rPr>
            <w:fldChar w:fldCharType="end"/>
          </w:r>
        </w:sdtContent>
      </w:sdt>
      <w:r w:rsidR="00747F35" w:rsidRPr="006A56FF">
        <w:rPr>
          <w:lang w:val="en-US"/>
        </w:rPr>
        <w:t xml:space="preserve"> </w:t>
      </w:r>
      <w:r w:rsidR="00FA3154" w:rsidRPr="006A56FF">
        <w:rPr>
          <w:lang w:val="en-US"/>
        </w:rPr>
        <w:t>and/or</w:t>
      </w:r>
      <w:r w:rsidR="00747F35" w:rsidRPr="006A56FF">
        <w:rPr>
          <w:lang w:val="en-US"/>
        </w:rPr>
        <w:t xml:space="preserve"> OECD</w:t>
      </w:r>
      <w:r w:rsidR="00F211E8" w:rsidRPr="006A56FF">
        <w:rPr>
          <w:lang w:val="en-US"/>
        </w:rPr>
        <w:t xml:space="preserve"> cases</w:t>
      </w:r>
      <w:r w:rsidR="00EF3AEC" w:rsidRPr="006A56FF">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A56FF">
            <w:rPr>
              <w:lang w:val="en-US"/>
            </w:rPr>
            <w:fldChar w:fldCharType="separate"/>
          </w:r>
          <w:r w:rsidR="00563976" w:rsidRPr="006A56FF">
            <w:rPr>
              <w:lang w:val="en-US"/>
            </w:rPr>
            <w:t>(Colombo, 2012)</w:t>
          </w:r>
          <w:r w:rsidR="00EF3AEC" w:rsidRPr="006A56FF">
            <w:rPr>
              <w:lang w:val="en-US"/>
            </w:rPr>
            <w:fldChar w:fldCharType="end"/>
          </w:r>
        </w:sdtContent>
      </w:sdt>
      <w:r w:rsidR="00747F35" w:rsidRPr="006A56FF">
        <w:rPr>
          <w:lang w:val="en-US"/>
        </w:rPr>
        <w:t xml:space="preserve">. </w:t>
      </w:r>
    </w:p>
    <w:p w14:paraId="59539C23" w14:textId="779E842C" w:rsidR="0001050A" w:rsidRPr="006A56FF" w:rsidRDefault="00673314" w:rsidP="00B82577">
      <w:pPr>
        <w:pStyle w:val="02FlietextEinzug"/>
        <w:rPr>
          <w:lang w:val="en-US"/>
        </w:rPr>
      </w:pPr>
      <w:r w:rsidRPr="006A56FF">
        <w:rPr>
          <w:lang w:val="en-US"/>
        </w:rPr>
        <w:t xml:space="preserve">Despite </w:t>
      </w:r>
      <w:r w:rsidR="00CB5610" w:rsidRPr="006A56FF">
        <w:rPr>
          <w:lang w:val="en-US"/>
        </w:rPr>
        <w:t>the</w:t>
      </w:r>
      <w:r w:rsidRPr="006A56FF">
        <w:rPr>
          <w:lang w:val="en-US"/>
        </w:rPr>
        <w:t xml:space="preserve"> </w:t>
      </w:r>
      <w:r w:rsidR="006E55FF" w:rsidRPr="006A56FF">
        <w:rPr>
          <w:lang w:val="en-US"/>
        </w:rPr>
        <w:t xml:space="preserve">large variety in the number of clusters and the composition of those clusters in the different typologies some similarities and parallels can be depicted. The most robust cluster is a </w:t>
      </w:r>
      <w:r w:rsidR="00576CF1" w:rsidRPr="006A56FF">
        <w:rPr>
          <w:lang w:val="en-US"/>
        </w:rPr>
        <w:t>Scandinavian</w:t>
      </w:r>
      <w:r w:rsidR="006E55FF" w:rsidRPr="006A56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A56FF">
            <w:rPr>
              <w:lang w:val="en-US"/>
            </w:rPr>
            <w:fldChar w:fldCharType="begin"/>
          </w:r>
          <w:r w:rsidR="006E55FF" w:rsidRPr="006A56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2A4B22">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A56FF">
            <w:rPr>
              <w:lang w:val="en-US"/>
            </w:rPr>
            <w:fldChar w:fldCharType="separate"/>
          </w:r>
          <w:r w:rsidR="00563976" w:rsidRPr="002A4B22">
            <w:t>(Alber, 1995; Colombo, 2012; Damiani et al., 2011; Kraus et al., 2010; Pommer et al., 2009)</w:t>
          </w:r>
          <w:r w:rsidR="006E55FF" w:rsidRPr="006A56FF">
            <w:rPr>
              <w:lang w:val="en-US"/>
            </w:rPr>
            <w:fldChar w:fldCharType="end"/>
          </w:r>
        </w:sdtContent>
      </w:sdt>
      <w:r w:rsidR="00576CF1" w:rsidRPr="002A4B22">
        <w:t xml:space="preserve">. </w:t>
      </w:r>
      <w:r w:rsidR="00576CF1" w:rsidRPr="006A56FF">
        <w:rPr>
          <w:lang w:val="en-US"/>
        </w:rPr>
        <w:t>Cluster</w:t>
      </w:r>
      <w:r w:rsidR="00D9383E" w:rsidRPr="006A56FF">
        <w:rPr>
          <w:lang w:val="en-US"/>
        </w:rPr>
        <w:t>s</w:t>
      </w:r>
      <w:r w:rsidR="00576CF1" w:rsidRPr="006A56FF">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A56FF">
            <w:rPr>
              <w:lang w:val="en-US"/>
            </w:rPr>
            <w:fldChar w:fldCharType="separate"/>
          </w:r>
          <w:r w:rsidRPr="006A56FF">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A56FF">
            <w:rPr>
              <w:lang w:val="en-US"/>
            </w:rPr>
            <w:fldChar w:fldCharType="separate"/>
          </w:r>
          <w:r w:rsidRPr="006A56FF">
            <w:rPr>
              <w:lang w:val="en-US"/>
            </w:rPr>
            <w:t>(2011)</w:t>
          </w:r>
          <w:r w:rsidRPr="006A56FF">
            <w:rPr>
              <w:lang w:val="en-US"/>
            </w:rPr>
            <w:fldChar w:fldCharType="end"/>
          </w:r>
        </w:sdtContent>
      </w:sdt>
      <w:r w:rsidRPr="006A56FF">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A56FF">
            <w:rPr>
              <w:lang w:val="en-US"/>
            </w:rPr>
            <w:fldChar w:fldCharType="separate"/>
          </w:r>
          <w:r w:rsidRPr="006A56FF">
            <w:rPr>
              <w:lang w:val="en-US"/>
            </w:rPr>
            <w:t>Halásková et al.</w:t>
          </w:r>
          <w:r w:rsidRPr="006A56FF">
            <w:rPr>
              <w:lang w:val="en-US"/>
            </w:rPr>
            <w:fldChar w:fldCharType="end"/>
          </w:r>
        </w:sdtContent>
      </w:sdt>
      <w:r w:rsidRPr="006A56FF">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A56FF">
            <w:rPr>
              <w:lang w:val="en-US"/>
            </w:rPr>
            <w:fldChar w:fldCharType="separate"/>
          </w:r>
          <w:r w:rsidRPr="006A56FF">
            <w:rPr>
              <w:lang w:val="en-US"/>
            </w:rPr>
            <w:t>(2017)</w:t>
          </w:r>
          <w:r w:rsidRPr="006A56FF">
            <w:rPr>
              <w:lang w:val="en-US"/>
            </w:rPr>
            <w:fldChar w:fldCharType="end"/>
          </w:r>
        </w:sdtContent>
      </w:sdt>
      <w:r w:rsidRPr="006A56FF">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A56FF">
            <w:rPr>
              <w:lang w:val="en-US"/>
            </w:rPr>
            <w:fldChar w:fldCharType="separate"/>
          </w:r>
          <w:r w:rsidRPr="006A56FF">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A56FF">
            <w:rPr>
              <w:lang w:val="en-US"/>
            </w:rPr>
            <w:fldChar w:fldCharType="separate"/>
          </w:r>
          <w:r w:rsidRPr="006A56FF">
            <w:rPr>
              <w:lang w:val="en-US"/>
            </w:rPr>
            <w:t>(2010)</w:t>
          </w:r>
          <w:r w:rsidRPr="006A56FF">
            <w:rPr>
              <w:lang w:val="en-US"/>
            </w:rPr>
            <w:fldChar w:fldCharType="end"/>
          </w:r>
        </w:sdtContent>
      </w:sdt>
      <w:r w:rsidR="00576CF1" w:rsidRPr="006A56FF">
        <w:rPr>
          <w:lang w:val="en-US"/>
        </w:rPr>
        <w:t xml:space="preserve"> In these clusters often Bulgaria, Hungary, the Czech Republic, </w:t>
      </w:r>
      <w:proofErr w:type="gramStart"/>
      <w:r w:rsidR="00576CF1" w:rsidRPr="006A56FF">
        <w:rPr>
          <w:lang w:val="en-US"/>
        </w:rPr>
        <w:t>Estonia</w:t>
      </w:r>
      <w:proofErr w:type="gramEnd"/>
      <w:r w:rsidR="00576CF1" w:rsidRPr="006A56FF">
        <w:rPr>
          <w:lang w:val="en-US"/>
        </w:rPr>
        <w:t xml:space="preserve"> and Slovakia are included</w:t>
      </w:r>
      <w:r w:rsidR="00FA3154" w:rsidRPr="006A56FF">
        <w:rPr>
          <w:lang w:val="en-US"/>
        </w:rPr>
        <w:t>, while</w:t>
      </w:r>
      <w:r w:rsidR="00576CF1" w:rsidRPr="006A56FF">
        <w:rPr>
          <w:lang w:val="en-US"/>
        </w:rPr>
        <w:t xml:space="preserve"> othe</w:t>
      </w:r>
      <w:r w:rsidRPr="006A56FF">
        <w:rPr>
          <w:lang w:val="en-US"/>
        </w:rPr>
        <w:t>r Eastern European countries</w:t>
      </w:r>
      <w:r w:rsidR="00576CF1" w:rsidRPr="006A56FF">
        <w:rPr>
          <w:lang w:val="en-US"/>
        </w:rPr>
        <w:t xml:space="preserve"> </w:t>
      </w:r>
      <w:r w:rsidR="00FA3154" w:rsidRPr="006A56FF">
        <w:rPr>
          <w:lang w:val="en-US"/>
        </w:rPr>
        <w:t xml:space="preserve">sometimes </w:t>
      </w:r>
      <w:r w:rsidR="00576CF1" w:rsidRPr="006A56FF">
        <w:rPr>
          <w:lang w:val="en-US"/>
        </w:rPr>
        <w:t xml:space="preserve">join. In some </w:t>
      </w:r>
      <w:r w:rsidR="00FA3154" w:rsidRPr="006A56FF">
        <w:rPr>
          <w:lang w:val="en-US"/>
        </w:rPr>
        <w:t xml:space="preserve">studies </w:t>
      </w:r>
      <w:r w:rsidR="00576CF1" w:rsidRPr="006A56FF">
        <w:rPr>
          <w:lang w:val="en-US"/>
        </w:rPr>
        <w:t xml:space="preserve">a second cluster which incorporates Eastern-European as well as Southern </w:t>
      </w:r>
      <w:r w:rsidR="00C33DD0" w:rsidRPr="006A56FF">
        <w:rPr>
          <w:lang w:val="en-US"/>
        </w:rPr>
        <w:t>European</w:t>
      </w:r>
      <w:r w:rsidR="00576CF1" w:rsidRPr="006A56FF">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A56FF">
            <w:rPr>
              <w:lang w:val="en-US"/>
            </w:rPr>
            <w:fldChar w:fldCharType="begin"/>
          </w:r>
          <w:r w:rsidR="00576CF1" w:rsidRPr="006A56FF">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A56FF">
            <w:rPr>
              <w:lang w:val="en-US"/>
            </w:rPr>
            <w:fldChar w:fldCharType="separate"/>
          </w:r>
          <w:r w:rsidR="00563976" w:rsidRPr="006A56FF">
            <w:rPr>
              <w:lang w:val="en-US"/>
            </w:rPr>
            <w:t>(Damiani et al., 2011; Kraus et al., 2010; Colombo et al., 2011)</w:t>
          </w:r>
          <w:r w:rsidR="00576CF1" w:rsidRPr="006A56FF">
            <w:rPr>
              <w:lang w:val="en-US"/>
            </w:rPr>
            <w:fldChar w:fldCharType="end"/>
          </w:r>
        </w:sdtContent>
      </w:sdt>
      <w:r w:rsidR="00C33DD0" w:rsidRPr="006A56FF">
        <w:rPr>
          <w:lang w:val="en-US"/>
        </w:rPr>
        <w:t xml:space="preserve"> including Italy, Spain and Greece. These countries </w:t>
      </w:r>
      <w:r w:rsidRPr="006A56FF">
        <w:rPr>
          <w:lang w:val="en-US"/>
        </w:rPr>
        <w:t xml:space="preserve">are only depicted in </w:t>
      </w:r>
      <w:r w:rsidR="00C33DD0" w:rsidRPr="006A56FF">
        <w:rPr>
          <w:lang w:val="en-US"/>
        </w:rPr>
        <w:t>a genuine Southern European cluster</w:t>
      </w:r>
      <w:r w:rsidRPr="006A56FF">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A56FF">
            <w:rPr>
              <w:lang w:val="en-US"/>
            </w:rPr>
            <w:fldChar w:fldCharType="separate"/>
          </w:r>
          <w:r w:rsidRPr="006A56FF">
            <w:rPr>
              <w:lang w:val="en-US"/>
            </w:rPr>
            <w:t>Pommer et al.</w:t>
          </w:r>
          <w:r w:rsidRPr="006A56FF">
            <w:rPr>
              <w:lang w:val="en-US"/>
            </w:rPr>
            <w:fldChar w:fldCharType="end"/>
          </w:r>
        </w:sdtContent>
      </w:sdt>
      <w:r w:rsidRPr="006A56FF">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A56FF">
            <w:rPr>
              <w:lang w:val="en-US"/>
            </w:rPr>
            <w:fldChar w:fldCharType="separate"/>
          </w:r>
          <w:r w:rsidRPr="006A56FF">
            <w:rPr>
              <w:lang w:val="en-US"/>
            </w:rPr>
            <w:t>(2009)</w:t>
          </w:r>
          <w:r w:rsidRPr="006A56FF">
            <w:rPr>
              <w:lang w:val="en-US"/>
            </w:rPr>
            <w:fldChar w:fldCharType="end"/>
          </w:r>
        </w:sdtContent>
      </w:sdt>
      <w:r w:rsidR="00C33DD0" w:rsidRPr="006A56FF">
        <w:rPr>
          <w:lang w:val="en-US"/>
        </w:rPr>
        <w:t xml:space="preserve">. Continental </w:t>
      </w:r>
      <w:r w:rsidRPr="006A56FF">
        <w:rPr>
          <w:lang w:val="en-US"/>
        </w:rPr>
        <w:t>European</w:t>
      </w:r>
      <w:r w:rsidR="00C33DD0" w:rsidRPr="006A56FF">
        <w:rPr>
          <w:lang w:val="en-US"/>
        </w:rPr>
        <w:t xml:space="preserve"> countries </w:t>
      </w:r>
      <w:r w:rsidRPr="006A56FF">
        <w:rPr>
          <w:lang w:val="en-US"/>
        </w:rPr>
        <w:t>such as Germany</w:t>
      </w:r>
      <w:r w:rsidR="00C33DD0" w:rsidRPr="006A56FF">
        <w:rPr>
          <w:lang w:val="en-US"/>
        </w:rPr>
        <w:t>, France, Austria, Belgium and Luxemburg can be found in many typologies together in one clust</w:t>
      </w:r>
      <w:r w:rsidR="00D9383E" w:rsidRPr="006A56FF">
        <w:rPr>
          <w:lang w:val="en-US"/>
        </w:rPr>
        <w:t>er but</w:t>
      </w:r>
      <w:r w:rsidR="00C33DD0" w:rsidRPr="006A56FF">
        <w:rPr>
          <w:lang w:val="en-US"/>
        </w:rPr>
        <w:t xml:space="preserve"> mostly</w:t>
      </w:r>
      <w:r w:rsidR="003C0489" w:rsidRPr="006A56FF">
        <w:rPr>
          <w:lang w:val="en-US"/>
        </w:rPr>
        <w:t xml:space="preserve"> </w:t>
      </w:r>
      <w:r w:rsidR="00D9383E" w:rsidRPr="006A56FF">
        <w:rPr>
          <w:lang w:val="en-US"/>
        </w:rPr>
        <w:t>together with some</w:t>
      </w:r>
      <w:r w:rsidR="00C33DD0" w:rsidRPr="006A56FF">
        <w:rPr>
          <w:lang w:val="en-US"/>
        </w:rPr>
        <w:t xml:space="preserve"> Eastern European or </w:t>
      </w:r>
      <w:r w:rsidRPr="006A56FF">
        <w:rPr>
          <w:lang w:val="en-US"/>
        </w:rPr>
        <w:t>Northern</w:t>
      </w:r>
      <w:r w:rsidR="00C33DD0" w:rsidRPr="006A56FF">
        <w:rPr>
          <w:lang w:val="en-US"/>
        </w:rPr>
        <w:t xml:space="preserve"> Europe</w:t>
      </w:r>
      <w:r w:rsidR="00D9383E" w:rsidRPr="006A56FF">
        <w:rPr>
          <w:lang w:val="en-US"/>
        </w:rPr>
        <w:t>an countries</w:t>
      </w:r>
      <w:r w:rsidR="00C33DD0" w:rsidRPr="006A56FF">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A56FF">
            <w:rPr>
              <w:lang w:val="en-US"/>
            </w:rPr>
            <w:fldChar w:fldCharType="begin"/>
          </w:r>
          <w:r w:rsidR="00C33DD0" w:rsidRPr="006A56FF">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2A4B22">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A56FF">
            <w:rPr>
              <w:lang w:val="en-US"/>
            </w:rPr>
            <w:fldChar w:fldCharType="separate"/>
          </w:r>
          <w:r w:rsidR="00563976" w:rsidRPr="002A4B22">
            <w:t xml:space="preserve">(Alber, 1995; Damiani et </w:t>
          </w:r>
          <w:r w:rsidR="00563976" w:rsidRPr="002A4B22">
            <w:lastRenderedPageBreak/>
            <w:t>al., 2011; Halásková et al., 2017; Kraus et al., 2010; Pommer et al., 2009)</w:t>
          </w:r>
          <w:r w:rsidR="00C33DD0" w:rsidRPr="006A56FF">
            <w:rPr>
              <w:lang w:val="en-US"/>
            </w:rPr>
            <w:fldChar w:fldCharType="end"/>
          </w:r>
        </w:sdtContent>
      </w:sdt>
      <w:r w:rsidR="00C33DD0" w:rsidRPr="002A4B22">
        <w:t xml:space="preserve">. </w:t>
      </w:r>
      <w:r w:rsidR="00C33DD0" w:rsidRPr="006A56FF">
        <w:rPr>
          <w:lang w:val="en-US"/>
        </w:rPr>
        <w:t>Non-</w:t>
      </w:r>
      <w:r w:rsidR="00840047" w:rsidRPr="006A56FF">
        <w:rPr>
          <w:lang w:val="en-US"/>
        </w:rPr>
        <w:t>European</w:t>
      </w:r>
      <w:r w:rsidR="00C33DD0" w:rsidRPr="006A56FF">
        <w:rPr>
          <w:lang w:val="en-US"/>
        </w:rPr>
        <w:t xml:space="preserve"> countries are rarely included in the</w:t>
      </w:r>
      <w:r w:rsidR="001D3817" w:rsidRPr="006A56FF">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A56FF">
            <w:rPr>
              <w:lang w:val="en-US"/>
            </w:rPr>
            <w:fldChar w:fldCharType="separate"/>
          </w:r>
          <w:r w:rsidR="00563976" w:rsidRPr="006A56FF">
            <w:rPr>
              <w:lang w:val="en-US"/>
            </w:rPr>
            <w:t>Colombo</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A56FF">
            <w:rPr>
              <w:lang w:val="en-US"/>
            </w:rPr>
            <w:fldChar w:fldCharType="separate"/>
          </w:r>
          <w:r w:rsidR="00563976" w:rsidRPr="006A56FF">
            <w:rPr>
              <w:lang w:val="en-US"/>
            </w:rPr>
            <w:t>(2012)</w:t>
          </w:r>
          <w:r w:rsidR="001D3817" w:rsidRPr="006A56FF">
            <w:rPr>
              <w:lang w:val="en-US"/>
            </w:rPr>
            <w:fldChar w:fldCharType="end"/>
          </w:r>
        </w:sdtContent>
      </w:sdt>
      <w:r w:rsidR="001D3817" w:rsidRPr="006A56FF">
        <w:rPr>
          <w:lang w:val="en-US"/>
        </w:rPr>
        <w:t>, which categorize countries based on financing indicators include Japan and South Korea in</w:t>
      </w:r>
      <w:r w:rsidR="003C0489" w:rsidRPr="006A56FF">
        <w:rPr>
          <w:lang w:val="en-US"/>
        </w:rPr>
        <w:t xml:space="preserve"> a</w:t>
      </w:r>
      <w:r w:rsidR="001D3817" w:rsidRPr="006A56FF">
        <w:rPr>
          <w:lang w:val="en-US"/>
        </w:rPr>
        <w:t xml:space="preserve"> cluster with Germany, Luxemburg and the Netherlands due to their common </w:t>
      </w:r>
      <w:r w:rsidR="003C0489" w:rsidRPr="006A56FF">
        <w:rPr>
          <w:lang w:val="en-US"/>
        </w:rPr>
        <w:t>social insurance approach, whereas</w:t>
      </w:r>
      <w:r w:rsidR="001D3817" w:rsidRPr="006A56FF">
        <w:rPr>
          <w:lang w:val="en-US"/>
        </w:rPr>
        <w:t xml:space="preserve"> New Zealand and Canada are in a cluster with Greece, Spain and Switzerland due to their universal but means-tested financing </w:t>
      </w:r>
      <w:r w:rsidR="00CB5610" w:rsidRPr="006A56FF">
        <w:rPr>
          <w:lang w:val="en-US"/>
        </w:rPr>
        <w:t>approach</w:t>
      </w:r>
      <w:r w:rsidR="001D3817" w:rsidRPr="006A56FF">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A56FF">
            <w:rPr>
              <w:lang w:val="en-US"/>
            </w:rPr>
            <w:fldChar w:fldCharType="separate"/>
          </w:r>
          <w:r w:rsidR="00563976" w:rsidRPr="006A56FF">
            <w:rPr>
              <w:lang w:val="en-US"/>
            </w:rPr>
            <w:t>Halásková et al.</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A56FF">
            <w:rPr>
              <w:lang w:val="en-US"/>
            </w:rPr>
            <w:fldChar w:fldCharType="separate"/>
          </w:r>
          <w:r w:rsidR="00563976" w:rsidRPr="006A56FF">
            <w:rPr>
              <w:lang w:val="en-US"/>
            </w:rPr>
            <w:t>(2017)</w:t>
          </w:r>
          <w:r w:rsidR="001D3817" w:rsidRPr="006A56FF">
            <w:rPr>
              <w:lang w:val="en-US"/>
            </w:rPr>
            <w:fldChar w:fldCharType="end"/>
          </w:r>
        </w:sdtContent>
      </w:sdt>
      <w:r w:rsidR="001D3817" w:rsidRPr="006A56FF">
        <w:rPr>
          <w:lang w:val="en-US"/>
        </w:rPr>
        <w:t xml:space="preserve"> find Australia and South Korea in one cluster.</w:t>
      </w:r>
    </w:p>
    <w:p w14:paraId="58241F31" w14:textId="28D48736" w:rsidR="00761B67" w:rsidRPr="006A56FF" w:rsidRDefault="00CE76F2" w:rsidP="00B82577">
      <w:pPr>
        <w:pStyle w:val="02FlietextEinzug"/>
        <w:rPr>
          <w:lang w:val="en-US"/>
        </w:rPr>
      </w:pPr>
      <w:r w:rsidRPr="006A56FF">
        <w:rPr>
          <w:lang w:val="en-US"/>
        </w:rPr>
        <w:t xml:space="preserve">This short overview </w:t>
      </w:r>
      <w:r w:rsidR="00761B67" w:rsidRPr="006A56FF">
        <w:rPr>
          <w:lang w:val="en-US"/>
        </w:rPr>
        <w:t>on existing LTC typologies show</w:t>
      </w:r>
      <w:r w:rsidR="006D1F30" w:rsidRPr="006A56FF">
        <w:rPr>
          <w:lang w:val="en-US"/>
        </w:rPr>
        <w:t xml:space="preserve">s room for extension. </w:t>
      </w:r>
      <w:r w:rsidR="0003105A" w:rsidRPr="006A56FF">
        <w:rPr>
          <w:lang w:val="en-US"/>
        </w:rPr>
        <w:t>First, m</w:t>
      </w:r>
      <w:r w:rsidR="006D1F30" w:rsidRPr="006A56FF">
        <w:rPr>
          <w:lang w:val="en-US"/>
        </w:rPr>
        <w:t xml:space="preserve">ost typologies only use quantitative indicators where a </w:t>
      </w:r>
      <w:r w:rsidR="00245A78" w:rsidRPr="006A56FF">
        <w:rPr>
          <w:lang w:val="en-US"/>
        </w:rPr>
        <w:t>huge</w:t>
      </w:r>
      <w:r w:rsidR="006D1F30" w:rsidRPr="006A56FF">
        <w:rPr>
          <w:lang w:val="en-US"/>
        </w:rPr>
        <w:t xml:space="preserve"> weight lies on financing indicators. </w:t>
      </w:r>
      <w:r w:rsidR="0003105A" w:rsidRPr="006A56FF">
        <w:rPr>
          <w:lang w:val="en-US"/>
        </w:rPr>
        <w:t>Additional, e.g. i</w:t>
      </w:r>
      <w:r w:rsidR="006D1F30" w:rsidRPr="006A56FF">
        <w:rPr>
          <w:lang w:val="en-US"/>
        </w:rPr>
        <w:t xml:space="preserve">nstitutional indicators </w:t>
      </w:r>
      <w:r w:rsidRPr="006A56FF">
        <w:rPr>
          <w:lang w:val="en-US"/>
        </w:rPr>
        <w:t>focusing on access to long-term care are rarely used</w:t>
      </w:r>
      <w:r w:rsidR="0003105A" w:rsidRPr="006A56FF">
        <w:rPr>
          <w:lang w:val="en-US"/>
        </w:rPr>
        <w:t xml:space="preserve"> here</w:t>
      </w:r>
      <w:r w:rsidRPr="006A56FF">
        <w:rPr>
          <w:lang w:val="en-US"/>
        </w:rPr>
        <w:t xml:space="preserve">. </w:t>
      </w:r>
      <w:r w:rsidR="00761B67" w:rsidRPr="006A56FF">
        <w:rPr>
          <w:lang w:val="en-US"/>
        </w:rPr>
        <w:t>Second</w:t>
      </w:r>
      <w:r w:rsidRPr="006A56FF">
        <w:rPr>
          <w:lang w:val="en-US"/>
        </w:rPr>
        <w:t>, many typologies have a Eu</w:t>
      </w:r>
      <w:r w:rsidR="00761B67" w:rsidRPr="006A56FF">
        <w:rPr>
          <w:lang w:val="en-US"/>
        </w:rPr>
        <w:t>r</w:t>
      </w:r>
      <w:r w:rsidRPr="006A56FF">
        <w:rPr>
          <w:lang w:val="en-US"/>
        </w:rPr>
        <w:t xml:space="preserve">opean focus or only use a small sample of countries. </w:t>
      </w:r>
      <w:r w:rsidR="0003105A" w:rsidRPr="006A56FF">
        <w:rPr>
          <w:lang w:val="en-US"/>
        </w:rPr>
        <w:t>Thus, w</w:t>
      </w:r>
      <w:r w:rsidRPr="006A56FF">
        <w:rPr>
          <w:lang w:val="en-US"/>
        </w:rPr>
        <w:t>e would like to extend these typologies by using an OECD sample with as man</w:t>
      </w:r>
      <w:r w:rsidR="00761B67" w:rsidRPr="006A56FF">
        <w:rPr>
          <w:lang w:val="en-US"/>
        </w:rPr>
        <w:t>y</w:t>
      </w:r>
      <w:r w:rsidRPr="006A56FF">
        <w:rPr>
          <w:lang w:val="en-US"/>
        </w:rPr>
        <w:t xml:space="preserve"> countries as possible</w:t>
      </w:r>
      <w:r w:rsidR="00761B67" w:rsidRPr="006A56FF">
        <w:rPr>
          <w:lang w:val="en-US"/>
        </w:rPr>
        <w:t>.</w:t>
      </w:r>
    </w:p>
    <w:p w14:paraId="16A3EB2A" w14:textId="77777777" w:rsidR="00B82577" w:rsidRPr="006A56FF" w:rsidRDefault="00B82577" w:rsidP="00BD0E63">
      <w:pPr>
        <w:spacing w:line="360" w:lineRule="auto"/>
        <w:jc w:val="both"/>
        <w:rPr>
          <w:szCs w:val="24"/>
          <w:lang w:val="en-US"/>
        </w:rPr>
      </w:pPr>
    </w:p>
    <w:p w14:paraId="56CE1366" w14:textId="51EC3745"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535BDA">
        <w:rPr>
          <w:lang w:val="en-US"/>
        </w:rPr>
        <w:t>456</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4B97FF71" w14:textId="1654A5B9" w:rsidR="00B562F1" w:rsidRDefault="00E91ABE" w:rsidP="00B562F1">
      <w:pPr>
        <w:pStyle w:val="Textkrper"/>
        <w:spacing w:line="480" w:lineRule="auto"/>
        <w:rPr>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r w:rsidR="00E028AA">
        <w:rPr>
          <w:szCs w:val="24"/>
        </w:rPr>
        <w:t xml:space="preserve">qualitative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w:t>
      </w:r>
      <w:proofErr w:type="spellStart"/>
      <w:r w:rsidR="000116F3" w:rsidRPr="006A56FF">
        <w:rPr>
          <w:szCs w:val="24"/>
        </w:rPr>
        <w:t>Missoc</w:t>
      </w:r>
      <w:proofErr w:type="spellEnd"/>
      <w:r w:rsidR="000116F3" w:rsidRPr="006A56FF">
        <w:rPr>
          <w:szCs w:val="24"/>
        </w:rPr>
        <w:t xml:space="preserve">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DC026B">
        <w:rPr>
          <w:szCs w:val="24"/>
        </w:rPr>
        <w:t xml:space="preserve"> </w:t>
      </w:r>
      <w:r w:rsidR="00DC026B" w:rsidRPr="004A5931">
        <w:rPr>
          <w:color w:val="FF0000"/>
          <w:szCs w:val="24"/>
        </w:rPr>
        <w:t>CODING SCHEME</w:t>
      </w:r>
      <w:r w:rsidR="004A6407" w:rsidRPr="004A5931">
        <w:rPr>
          <w:color w:val="FF0000"/>
          <w:szCs w:val="24"/>
        </w:rPr>
        <w:t xml:space="preserve"> </w:t>
      </w:r>
      <w:r w:rsidR="00304754" w:rsidRPr="006A56FF">
        <w:rPr>
          <w:szCs w:val="24"/>
        </w:rPr>
        <w:t xml:space="preserve">Since </w:t>
      </w:r>
      <w:r w:rsidR="00040270" w:rsidRPr="006A56FF">
        <w:rPr>
          <w:szCs w:val="24"/>
        </w:rPr>
        <w:t xml:space="preserve">in </w:t>
      </w:r>
      <w:r w:rsidR="00D11535">
        <w:rPr>
          <w:szCs w:val="24"/>
        </w:rPr>
        <w:t xml:space="preserve">some countries </w:t>
      </w:r>
      <w:r w:rsidR="00304754" w:rsidRPr="006A56FF">
        <w:rPr>
          <w:szCs w:val="24"/>
        </w:rPr>
        <w:t xml:space="preserve">regional </w:t>
      </w:r>
      <w:r w:rsidR="000116F3" w:rsidRPr="006A56FF">
        <w:rPr>
          <w:szCs w:val="24"/>
        </w:rPr>
        <w:t>or municipal rules</w:t>
      </w:r>
      <w:r w:rsidR="00040270" w:rsidRPr="006A56FF">
        <w:rPr>
          <w:szCs w:val="24"/>
        </w:rPr>
        <w:t xml:space="preserve"> prevail more often than national laws, </w:t>
      </w:r>
      <w:r w:rsidR="000116F3" w:rsidRPr="006A56FF">
        <w:rPr>
          <w:szCs w:val="24"/>
        </w:rPr>
        <w:t>the codes refer to the dominant</w:t>
      </w:r>
      <w:r w:rsidR="00040270" w:rsidRPr="006A56FF">
        <w:rPr>
          <w:szCs w:val="24"/>
        </w:rPr>
        <w:t xml:space="preserve"> rules </w:t>
      </w:r>
      <w:r w:rsidR="000116F3" w:rsidRPr="006A56FF">
        <w:rPr>
          <w:szCs w:val="24"/>
        </w:rPr>
        <w:t xml:space="preserve">in place. </w:t>
      </w:r>
      <w:commentRangeStart w:id="1"/>
      <w:commentRangeStart w:id="2"/>
      <w:r w:rsidR="000116F3" w:rsidRPr="006A56FF">
        <w:rPr>
          <w:szCs w:val="24"/>
        </w:rPr>
        <w:t xml:space="preserve">In case of </w:t>
      </w:r>
      <w:r w:rsidR="000116F3" w:rsidRPr="006A56FF">
        <w:rPr>
          <w:szCs w:val="24"/>
        </w:rPr>
        <w:lastRenderedPageBreak/>
        <w:t xml:space="preserve">ambiguous information, </w:t>
      </w:r>
      <w:r w:rsidR="004A6407" w:rsidRPr="006A56FF">
        <w:rPr>
          <w:szCs w:val="24"/>
        </w:rPr>
        <w:t xml:space="preserve">we searched for </w:t>
      </w:r>
      <w:r w:rsidR="008B5643">
        <w:rPr>
          <w:szCs w:val="24"/>
        </w:rPr>
        <w:t>additional</w:t>
      </w:r>
      <w:r w:rsidR="008B5643" w:rsidRPr="006A56FF">
        <w:rPr>
          <w:szCs w:val="24"/>
        </w:rPr>
        <w:t xml:space="preserve"> </w:t>
      </w:r>
      <w:r w:rsidR="000116F3" w:rsidRPr="006A56FF">
        <w:rPr>
          <w:szCs w:val="24"/>
        </w:rPr>
        <w:t>information on the indicator</w:t>
      </w:r>
      <w:r w:rsidR="008B5643">
        <w:rPr>
          <w:szCs w:val="24"/>
        </w:rPr>
        <w:t xml:space="preserve"> within scientific publications and countries’ official websites</w:t>
      </w:r>
      <w:r w:rsidR="004A6407" w:rsidRPr="006A56FF">
        <w:rPr>
          <w:szCs w:val="24"/>
        </w:rPr>
        <w:t xml:space="preserve">. To double-check the </w:t>
      </w:r>
      <w:r w:rsidR="008B5643">
        <w:rPr>
          <w:szCs w:val="24"/>
        </w:rPr>
        <w:t>values of the qualitative indicators</w:t>
      </w:r>
      <w:r w:rsidR="004A6407" w:rsidRPr="006A56FF">
        <w:rPr>
          <w:szCs w:val="24"/>
        </w:rPr>
        <w:t xml:space="preserve">, </w:t>
      </w:r>
      <w:r w:rsidR="000116F3" w:rsidRPr="006A56FF">
        <w:rPr>
          <w:szCs w:val="24"/>
        </w:rPr>
        <w:t xml:space="preserve">all </w:t>
      </w:r>
      <w:r w:rsidR="008B5643">
        <w:rPr>
          <w:szCs w:val="24"/>
        </w:rPr>
        <w:t xml:space="preserve">have been </w:t>
      </w:r>
      <w:proofErr w:type="gramStart"/>
      <w:r w:rsidR="008B5643">
        <w:rPr>
          <w:szCs w:val="24"/>
        </w:rPr>
        <w:t>send</w:t>
      </w:r>
      <w:proofErr w:type="gramEnd"/>
      <w:r w:rsidR="008B5643">
        <w:rPr>
          <w:szCs w:val="24"/>
        </w:rPr>
        <w:t xml:space="preserve"> to national LTC policy experts to check and in case correct</w:t>
      </w:r>
      <w:r w:rsidR="00185A42">
        <w:rPr>
          <w:szCs w:val="24"/>
        </w:rPr>
        <w:t xml:space="preserve"> the values. The questionnaires were </w:t>
      </w:r>
      <w:proofErr w:type="gramStart"/>
      <w:r w:rsidR="00185A42">
        <w:rPr>
          <w:szCs w:val="24"/>
        </w:rPr>
        <w:t>send</w:t>
      </w:r>
      <w:proofErr w:type="gramEnd"/>
      <w:r w:rsidR="00185A42">
        <w:rPr>
          <w:szCs w:val="24"/>
        </w:rPr>
        <w:t xml:space="preserve"> out between May and July 2019. </w:t>
      </w:r>
      <w:commentRangeEnd w:id="1"/>
      <w:del w:id="3" w:author="Mareike Ariaans" w:date="2020-06-23T12:19:00Z">
        <w:r w:rsidR="002D325D" w:rsidRPr="006A56FF" w:rsidDel="00185A42">
          <w:rPr>
            <w:rStyle w:val="Kommentarzeichen"/>
          </w:rPr>
          <w:commentReference w:id="1"/>
        </w:r>
        <w:commentRangeEnd w:id="2"/>
        <w:r w:rsidR="008B5643" w:rsidDel="00185A42">
          <w:rPr>
            <w:rStyle w:val="Kommentarzeichen"/>
            <w:lang w:val="de-DE"/>
          </w:rPr>
          <w:commentReference w:id="2"/>
        </w:r>
      </w:del>
    </w:p>
    <w:p w14:paraId="572EF2AF" w14:textId="79A50AB0" w:rsidR="00E028AA" w:rsidRPr="006A56FF" w:rsidRDefault="00E028AA" w:rsidP="00B562F1">
      <w:pPr>
        <w:pStyle w:val="Textkrper"/>
        <w:spacing w:line="480" w:lineRule="auto"/>
        <w:jc w:val="center"/>
        <w:rPr>
          <w:szCs w:val="24"/>
        </w:rPr>
      </w:pPr>
      <w:r w:rsidRPr="00E028AA">
        <w:rPr>
          <w:szCs w:val="24"/>
          <w:highlight w:val="yellow"/>
        </w:rPr>
        <w:t>--- TABLE 1 ABOUT HERE ---</w:t>
      </w:r>
    </w:p>
    <w:p w14:paraId="63B4E0F4" w14:textId="3FC55FD3"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BD5458">
        <w:rPr>
          <w:noProof/>
          <w:lang w:val="en-US"/>
        </w:rPr>
        <w:t>1</w:t>
      </w:r>
      <w:r w:rsidRPr="006A56FF">
        <w:rPr>
          <w:lang w:val="en-US"/>
        </w:rPr>
        <w:fldChar w:fldCharType="end"/>
      </w:r>
      <w:r w:rsidRPr="006A56FF">
        <w:rPr>
          <w:lang w:val="en-US"/>
        </w:rPr>
        <w:t xml:space="preserve">: Overview of LTC typology </w:t>
      </w:r>
      <w:commentRangeStart w:id="4"/>
      <w:r w:rsidRPr="006A56FF">
        <w:rPr>
          <w:lang w:val="en-US"/>
        </w:rPr>
        <w:t>indicators</w:t>
      </w:r>
      <w:commentRangeEnd w:id="4"/>
      <w:r w:rsidR="00265ABF">
        <w:rPr>
          <w:rStyle w:val="Kommentarzeichen"/>
          <w:bCs w:val="0"/>
        </w:rPr>
        <w:commentReference w:id="4"/>
      </w:r>
    </w:p>
    <w:tbl>
      <w:tblPr>
        <w:tblW w:w="8647" w:type="dxa"/>
        <w:tblLayout w:type="fixed"/>
        <w:tblLook w:val="0000" w:firstRow="0" w:lastRow="0" w:firstColumn="0" w:lastColumn="0" w:noHBand="0" w:noVBand="0"/>
      </w:tblPr>
      <w:tblGrid>
        <w:gridCol w:w="3969"/>
        <w:gridCol w:w="1276"/>
        <w:gridCol w:w="850"/>
        <w:gridCol w:w="851"/>
        <w:gridCol w:w="710"/>
        <w:gridCol w:w="991"/>
      </w:tblGrid>
      <w:tr w:rsidR="0097169C" w:rsidRPr="006A56FF" w14:paraId="18B3695B" w14:textId="38B9EECF" w:rsidTr="00094C4D">
        <w:trPr>
          <w:trHeight w:val="283"/>
        </w:trPr>
        <w:tc>
          <w:tcPr>
            <w:tcW w:w="3969" w:type="dxa"/>
            <w:tcBorders>
              <w:top w:val="single" w:sz="4" w:space="0" w:color="auto"/>
              <w:bottom w:val="single" w:sz="4" w:space="0" w:color="000000"/>
            </w:tcBorders>
            <w:shd w:val="clear" w:color="auto" w:fill="auto"/>
            <w:vAlign w:val="center"/>
          </w:tcPr>
          <w:p w14:paraId="10D0AABA" w14:textId="4778BA70" w:rsidR="0097169C" w:rsidRPr="006A56FF" w:rsidRDefault="0097169C" w:rsidP="006C4793">
            <w:pPr>
              <w:rPr>
                <w:sz w:val="20"/>
                <w:lang w:val="en-US"/>
              </w:rPr>
            </w:pPr>
            <w:r w:rsidRPr="006A56FF">
              <w:rPr>
                <w:i/>
                <w:sz w:val="20"/>
                <w:lang w:val="en-US"/>
              </w:rPr>
              <w:t>Quantitative indicators</w:t>
            </w:r>
          </w:p>
        </w:tc>
        <w:tc>
          <w:tcPr>
            <w:tcW w:w="1276" w:type="dxa"/>
            <w:tcBorders>
              <w:top w:val="single" w:sz="4" w:space="0" w:color="auto"/>
              <w:bottom w:val="single" w:sz="4" w:space="0" w:color="000000"/>
            </w:tcBorders>
            <w:vAlign w:val="center"/>
          </w:tcPr>
          <w:p w14:paraId="30326874" w14:textId="08A1CBAD" w:rsidR="0097169C" w:rsidRPr="006A56FF" w:rsidRDefault="00304754" w:rsidP="006C4793">
            <w:pPr>
              <w:rPr>
                <w:sz w:val="20"/>
                <w:lang w:val="en-US"/>
              </w:rPr>
            </w:pPr>
            <w:commentRangeStart w:id="5"/>
            <w:commentRangeStart w:id="6"/>
            <w:r w:rsidRPr="006A56FF">
              <w:rPr>
                <w:sz w:val="20"/>
                <w:lang w:val="en-US"/>
              </w:rPr>
              <w:t>Abbreviation</w:t>
            </w:r>
            <w:commentRangeEnd w:id="5"/>
            <w:r w:rsidR="002A4B22">
              <w:rPr>
                <w:rStyle w:val="Kommentarzeichen"/>
              </w:rPr>
              <w:commentReference w:id="5"/>
            </w:r>
            <w:commentRangeEnd w:id="6"/>
            <w:r w:rsidR="00185A42">
              <w:rPr>
                <w:rStyle w:val="Kommentarzeichen"/>
              </w:rPr>
              <w:commentReference w:id="6"/>
            </w:r>
          </w:p>
        </w:tc>
        <w:tc>
          <w:tcPr>
            <w:tcW w:w="850" w:type="dxa"/>
            <w:tcBorders>
              <w:top w:val="single" w:sz="4" w:space="0" w:color="auto"/>
              <w:bottom w:val="single" w:sz="4" w:space="0" w:color="000000"/>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000000"/>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10" w:type="dxa"/>
            <w:tcBorders>
              <w:top w:val="single" w:sz="4" w:space="0" w:color="auto"/>
              <w:bottom w:val="single" w:sz="4" w:space="0" w:color="000000"/>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000000"/>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97169C" w:rsidRPr="006A56FF" w14:paraId="609CDE9B" w14:textId="25703E3D" w:rsidTr="00094C4D">
        <w:trPr>
          <w:trHeight w:val="283"/>
        </w:trPr>
        <w:tc>
          <w:tcPr>
            <w:tcW w:w="3969" w:type="dxa"/>
            <w:tcBorders>
              <w:top w:val="single" w:sz="4" w:space="0" w:color="000000"/>
            </w:tcBorders>
            <w:shd w:val="clear" w:color="auto" w:fill="auto"/>
            <w:vAlign w:val="center"/>
          </w:tcPr>
          <w:p w14:paraId="35DD7611" w14:textId="4C465B86" w:rsidR="0097169C" w:rsidRPr="006A56FF" w:rsidRDefault="006C4793" w:rsidP="006C4793">
            <w:pPr>
              <w:spacing w:line="276" w:lineRule="auto"/>
              <w:ind w:left="142"/>
              <w:rPr>
                <w:sz w:val="20"/>
                <w:lang w:val="en-US"/>
              </w:rPr>
            </w:pPr>
            <w:commentRangeStart w:id="7"/>
            <w:commentRangeStart w:id="8"/>
            <w:r w:rsidRPr="006A56FF">
              <w:rPr>
                <w:sz w:val="20"/>
                <w:lang w:val="en-US"/>
              </w:rPr>
              <w:t>E</w:t>
            </w:r>
            <w:r w:rsidR="00E22111" w:rsidRPr="006A56FF">
              <w:rPr>
                <w:sz w:val="20"/>
                <w:lang w:val="en-US"/>
              </w:rPr>
              <w:t>xpenditure</w:t>
            </w:r>
            <w:commentRangeEnd w:id="7"/>
            <w:r w:rsidR="00E028AA">
              <w:rPr>
                <w:rStyle w:val="Kommentarzeichen"/>
              </w:rPr>
              <w:commentReference w:id="7"/>
            </w:r>
            <w:commentRangeEnd w:id="8"/>
            <w:r w:rsidR="00185A42">
              <w:rPr>
                <w:rStyle w:val="Kommentarzeichen"/>
              </w:rPr>
              <w:commentReference w:id="8"/>
            </w:r>
            <w:r w:rsidR="00E22111" w:rsidRPr="006A56FF">
              <w:rPr>
                <w:sz w:val="20"/>
                <w:lang w:val="en-US"/>
              </w:rPr>
              <w:t xml:space="preserve"> per capita in US$</w:t>
            </w:r>
            <w:r w:rsidRPr="006A56FF">
              <w:rPr>
                <w:sz w:val="20"/>
                <w:lang w:val="en-US"/>
              </w:rPr>
              <w:t>, PPP</w:t>
            </w:r>
          </w:p>
        </w:tc>
        <w:tc>
          <w:tcPr>
            <w:tcW w:w="1276" w:type="dxa"/>
            <w:tcBorders>
              <w:top w:val="single" w:sz="4" w:space="0" w:color="000000"/>
            </w:tcBorders>
            <w:vAlign w:val="center"/>
          </w:tcPr>
          <w:p w14:paraId="0C0731E3" w14:textId="24FF005D" w:rsidR="0097169C" w:rsidRPr="006A56FF" w:rsidRDefault="0097169C" w:rsidP="006C4793">
            <w:pPr>
              <w:rPr>
                <w:sz w:val="20"/>
                <w:lang w:val="en-US"/>
              </w:rPr>
            </w:pPr>
            <w:r w:rsidRPr="006A56FF">
              <w:rPr>
                <w:sz w:val="20"/>
                <w:lang w:val="en-US"/>
              </w:rPr>
              <w:t>EXPND</w:t>
            </w:r>
          </w:p>
        </w:tc>
        <w:tc>
          <w:tcPr>
            <w:tcW w:w="850" w:type="dxa"/>
            <w:tcBorders>
              <w:top w:val="single" w:sz="4" w:space="0" w:color="000000"/>
            </w:tcBorders>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tcBorders>
              <w:top w:val="single" w:sz="4" w:space="0" w:color="000000"/>
            </w:tcBorders>
            <w:vAlign w:val="center"/>
          </w:tcPr>
          <w:p w14:paraId="392BCE7A" w14:textId="25787003" w:rsidR="0097169C" w:rsidRPr="006A56FF" w:rsidRDefault="00A20DA6" w:rsidP="006C4793">
            <w:pPr>
              <w:rPr>
                <w:sz w:val="20"/>
                <w:lang w:val="en-US"/>
              </w:rPr>
            </w:pPr>
            <w:r w:rsidRPr="006A56FF">
              <w:rPr>
                <w:sz w:val="20"/>
                <w:lang w:val="en-US"/>
              </w:rPr>
              <w:t>524.81</w:t>
            </w:r>
          </w:p>
        </w:tc>
        <w:tc>
          <w:tcPr>
            <w:tcW w:w="710" w:type="dxa"/>
            <w:tcBorders>
              <w:top w:val="single" w:sz="4" w:space="0" w:color="000000"/>
            </w:tcBorders>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tcBorders>
              <w:top w:val="single" w:sz="4" w:space="0" w:color="000000"/>
            </w:tcBorders>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094C4D">
        <w:trPr>
          <w:trHeight w:val="283"/>
        </w:trPr>
        <w:tc>
          <w:tcPr>
            <w:tcW w:w="3969"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0"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10"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094C4D">
        <w:trPr>
          <w:trHeight w:val="283"/>
        </w:trPr>
        <w:tc>
          <w:tcPr>
            <w:tcW w:w="3969" w:type="dxa"/>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vAlign w:val="center"/>
          </w:tcPr>
          <w:p w14:paraId="3D90ACC6" w14:textId="1594289D" w:rsidR="0097169C" w:rsidRPr="006A56FF" w:rsidRDefault="0097169C" w:rsidP="006C4793">
            <w:pPr>
              <w:rPr>
                <w:sz w:val="20"/>
                <w:lang w:val="en-US"/>
              </w:rPr>
            </w:pPr>
            <w:r w:rsidRPr="006A56FF">
              <w:rPr>
                <w:sz w:val="20"/>
                <w:lang w:val="en-US"/>
              </w:rPr>
              <w:t>RCPT</w:t>
            </w:r>
            <w:r w:rsidR="00185A42">
              <w:rPr>
                <w:sz w:val="20"/>
                <w:lang w:val="en-US"/>
              </w:rPr>
              <w:t>IN</w:t>
            </w:r>
          </w:p>
        </w:tc>
        <w:tc>
          <w:tcPr>
            <w:tcW w:w="850" w:type="dxa"/>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vAlign w:val="center"/>
          </w:tcPr>
          <w:p w14:paraId="41192952" w14:textId="52A91F5D" w:rsidR="0097169C" w:rsidRPr="006A56FF" w:rsidRDefault="000116F3" w:rsidP="006C4793">
            <w:pPr>
              <w:rPr>
                <w:sz w:val="20"/>
                <w:lang w:val="en-US"/>
              </w:rPr>
            </w:pPr>
            <w:r w:rsidRPr="006A56FF">
              <w:rPr>
                <w:sz w:val="20"/>
                <w:lang w:val="en-US"/>
              </w:rPr>
              <w:t>1.66</w:t>
            </w:r>
          </w:p>
        </w:tc>
        <w:tc>
          <w:tcPr>
            <w:tcW w:w="710" w:type="dxa"/>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vAlign w:val="center"/>
          </w:tcPr>
          <w:p w14:paraId="7E40CA6A" w14:textId="337BFF44" w:rsidR="0097169C" w:rsidRPr="006A56FF" w:rsidRDefault="000116F3" w:rsidP="006C4793">
            <w:pPr>
              <w:rPr>
                <w:sz w:val="20"/>
                <w:lang w:val="en-US"/>
              </w:rPr>
            </w:pPr>
            <w:r w:rsidRPr="006A56FF">
              <w:rPr>
                <w:sz w:val="20"/>
                <w:lang w:val="en-US"/>
              </w:rPr>
              <w:t>7.17</w:t>
            </w:r>
          </w:p>
        </w:tc>
      </w:tr>
      <w:tr w:rsidR="0097169C" w:rsidRPr="006A56FF" w14:paraId="2A9B504E" w14:textId="16A233A1" w:rsidTr="00094C4D">
        <w:trPr>
          <w:trHeight w:val="283"/>
        </w:trPr>
        <w:tc>
          <w:tcPr>
            <w:tcW w:w="3969"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0"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10"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97169C" w:rsidRPr="006A56FF" w14:paraId="13EB1ED2" w14:textId="3557BED1" w:rsidTr="00094C4D">
        <w:trPr>
          <w:trHeight w:val="283"/>
        </w:trPr>
        <w:tc>
          <w:tcPr>
            <w:tcW w:w="3969" w:type="dxa"/>
            <w:shd w:val="clear" w:color="auto" w:fill="auto"/>
            <w:vAlign w:val="center"/>
          </w:tcPr>
          <w:p w14:paraId="2364875F" w14:textId="5251E263" w:rsidR="0097169C" w:rsidRPr="006A56FF" w:rsidRDefault="00A20DA6" w:rsidP="006C4793">
            <w:pPr>
              <w:spacing w:line="276" w:lineRule="auto"/>
              <w:ind w:left="142"/>
              <w:rPr>
                <w:sz w:val="20"/>
                <w:lang w:val="en-US"/>
              </w:rPr>
            </w:pPr>
            <w:r w:rsidRPr="006A56FF">
              <w:rPr>
                <w:sz w:val="20"/>
                <w:lang w:val="en-US"/>
              </w:rPr>
              <w:t>L</w:t>
            </w:r>
            <w:r w:rsidR="00E22111" w:rsidRPr="006A56FF">
              <w:rPr>
                <w:sz w:val="20"/>
                <w:lang w:val="en-US"/>
              </w:rPr>
              <w:t>ife expectancy 65+</w:t>
            </w:r>
          </w:p>
        </w:tc>
        <w:tc>
          <w:tcPr>
            <w:tcW w:w="1276" w:type="dxa"/>
            <w:vAlign w:val="center"/>
          </w:tcPr>
          <w:p w14:paraId="62AA027A" w14:textId="7C943E95" w:rsidR="0097169C" w:rsidRPr="006A56FF" w:rsidRDefault="00E22111" w:rsidP="006C4793">
            <w:pPr>
              <w:rPr>
                <w:sz w:val="20"/>
                <w:lang w:val="en-US"/>
              </w:rPr>
            </w:pPr>
            <w:r w:rsidRPr="006A56FF">
              <w:rPr>
                <w:sz w:val="20"/>
                <w:lang w:val="en-US"/>
              </w:rPr>
              <w:t>LEX</w:t>
            </w:r>
            <w:r w:rsidR="00926574">
              <w:rPr>
                <w:sz w:val="20"/>
                <w:lang w:val="en-US"/>
              </w:rPr>
              <w:t xml:space="preserve"> 65+</w:t>
            </w:r>
          </w:p>
        </w:tc>
        <w:tc>
          <w:tcPr>
            <w:tcW w:w="850" w:type="dxa"/>
            <w:vAlign w:val="center"/>
          </w:tcPr>
          <w:p w14:paraId="2F2E00A7" w14:textId="26A8EF9A" w:rsidR="0097169C" w:rsidRPr="006A56FF" w:rsidRDefault="00A20DA6" w:rsidP="006C4793">
            <w:pPr>
              <w:rPr>
                <w:sz w:val="20"/>
                <w:lang w:val="en-US"/>
              </w:rPr>
            </w:pPr>
            <w:r w:rsidRPr="006A56FF">
              <w:rPr>
                <w:sz w:val="20"/>
                <w:lang w:val="en-US"/>
              </w:rPr>
              <w:t>19.77</w:t>
            </w:r>
          </w:p>
        </w:tc>
        <w:tc>
          <w:tcPr>
            <w:tcW w:w="851" w:type="dxa"/>
            <w:vAlign w:val="center"/>
          </w:tcPr>
          <w:p w14:paraId="12DBC396" w14:textId="6E0E56C9" w:rsidR="0097169C" w:rsidRPr="006A56FF" w:rsidRDefault="000116F3" w:rsidP="006C4793">
            <w:pPr>
              <w:rPr>
                <w:sz w:val="20"/>
                <w:lang w:val="en-US"/>
              </w:rPr>
            </w:pPr>
            <w:r w:rsidRPr="006A56FF">
              <w:rPr>
                <w:sz w:val="20"/>
                <w:lang w:val="en-US"/>
              </w:rPr>
              <w:t>1.35</w:t>
            </w:r>
          </w:p>
        </w:tc>
        <w:tc>
          <w:tcPr>
            <w:tcW w:w="710" w:type="dxa"/>
            <w:vAlign w:val="center"/>
          </w:tcPr>
          <w:p w14:paraId="0240215D" w14:textId="5691E32C" w:rsidR="0097169C" w:rsidRPr="006A56FF" w:rsidRDefault="000116F3" w:rsidP="006C4793">
            <w:pPr>
              <w:rPr>
                <w:sz w:val="20"/>
                <w:lang w:val="en-US"/>
              </w:rPr>
            </w:pPr>
            <w:r w:rsidRPr="006A56FF">
              <w:rPr>
                <w:sz w:val="20"/>
                <w:lang w:val="en-US"/>
              </w:rPr>
              <w:t>16.48</w:t>
            </w:r>
          </w:p>
        </w:tc>
        <w:tc>
          <w:tcPr>
            <w:tcW w:w="991" w:type="dxa"/>
            <w:vAlign w:val="center"/>
          </w:tcPr>
          <w:p w14:paraId="714C9133" w14:textId="0F91EEB1" w:rsidR="0097169C" w:rsidRPr="006A56FF" w:rsidRDefault="000116F3" w:rsidP="006C4793">
            <w:pPr>
              <w:rPr>
                <w:sz w:val="20"/>
                <w:lang w:val="en-US"/>
              </w:rPr>
            </w:pPr>
            <w:r w:rsidRPr="006A56FF">
              <w:rPr>
                <w:sz w:val="20"/>
                <w:lang w:val="en-US"/>
              </w:rPr>
              <w:t>21.85</w:t>
            </w:r>
          </w:p>
        </w:tc>
      </w:tr>
      <w:tr w:rsidR="0097169C" w:rsidRPr="006A56FF" w14:paraId="4FF5D952" w14:textId="216B3603" w:rsidTr="00094C4D">
        <w:trPr>
          <w:trHeight w:val="283"/>
        </w:trPr>
        <w:tc>
          <w:tcPr>
            <w:tcW w:w="3969" w:type="dxa"/>
            <w:tcBorders>
              <w:bottom w:val="single" w:sz="4" w:space="0" w:color="auto"/>
            </w:tcBorders>
            <w:shd w:val="clear" w:color="auto" w:fill="auto"/>
            <w:vAlign w:val="center"/>
          </w:tcPr>
          <w:p w14:paraId="7CBB0C00" w14:textId="67AC6CBA" w:rsidR="006C4793" w:rsidRPr="006A56FF" w:rsidRDefault="00A20DA6" w:rsidP="006C4793">
            <w:pPr>
              <w:spacing w:line="276" w:lineRule="auto"/>
              <w:ind w:left="142"/>
              <w:rPr>
                <w:sz w:val="20"/>
                <w:lang w:val="en-US"/>
              </w:rPr>
            </w:pPr>
            <w:r w:rsidRPr="006A56FF">
              <w:rPr>
                <w:sz w:val="20"/>
                <w:lang w:val="en-US"/>
              </w:rPr>
              <w:t xml:space="preserve">Self-perceived health status </w:t>
            </w:r>
            <w:r w:rsidR="00304754" w:rsidRPr="006A56FF">
              <w:rPr>
                <w:sz w:val="20"/>
                <w:lang w:val="en-US"/>
              </w:rPr>
              <w:t>(</w:t>
            </w:r>
            <w:r w:rsidRPr="006A56FF">
              <w:rPr>
                <w:sz w:val="20"/>
                <w:lang w:val="en-US"/>
              </w:rPr>
              <w:t>very</w:t>
            </w:r>
            <w:r w:rsidR="00304754" w:rsidRPr="006A56FF">
              <w:rPr>
                <w:sz w:val="20"/>
                <w:lang w:val="en-US"/>
              </w:rPr>
              <w:t>)</w:t>
            </w:r>
            <w:r w:rsidRPr="006A56FF">
              <w:rPr>
                <w:sz w:val="20"/>
                <w:lang w:val="en-US"/>
              </w:rPr>
              <w:t xml:space="preserve"> good</w:t>
            </w:r>
            <w:r w:rsidR="006C4793" w:rsidRPr="006A56FF">
              <w:rPr>
                <w:sz w:val="20"/>
                <w:lang w:val="en-US"/>
              </w:rPr>
              <w:t xml:space="preserve">, </w:t>
            </w:r>
          </w:p>
          <w:p w14:paraId="3E0A2326" w14:textId="6BB0E7D7" w:rsidR="0097169C" w:rsidRPr="006A56FF" w:rsidRDefault="006C4793" w:rsidP="006C4793">
            <w:pPr>
              <w:spacing w:line="276" w:lineRule="auto"/>
              <w:ind w:left="142" w:firstLine="142"/>
              <w:rPr>
                <w:sz w:val="20"/>
                <w:lang w:val="en-US"/>
              </w:rPr>
            </w:pPr>
            <w:r w:rsidRPr="006A56FF">
              <w:rPr>
                <w:sz w:val="20"/>
                <w:lang w:val="en-US"/>
              </w:rPr>
              <w:t xml:space="preserve">% </w:t>
            </w:r>
            <w:r w:rsidR="00E22111" w:rsidRPr="006A56FF">
              <w:rPr>
                <w:sz w:val="20"/>
                <w:lang w:val="en-US"/>
              </w:rPr>
              <w:t>of the population 65+</w:t>
            </w:r>
          </w:p>
        </w:tc>
        <w:tc>
          <w:tcPr>
            <w:tcW w:w="1276" w:type="dxa"/>
            <w:tcBorders>
              <w:bottom w:val="single" w:sz="4" w:space="0" w:color="auto"/>
            </w:tcBorders>
            <w:vAlign w:val="center"/>
          </w:tcPr>
          <w:p w14:paraId="25F33FE0" w14:textId="010443B5" w:rsidR="0097169C" w:rsidRPr="006A56FF" w:rsidRDefault="00E22111" w:rsidP="006C4793">
            <w:pPr>
              <w:rPr>
                <w:sz w:val="20"/>
                <w:lang w:val="en-US"/>
              </w:rPr>
            </w:pPr>
            <w:r w:rsidRPr="006A56FF">
              <w:rPr>
                <w:sz w:val="20"/>
                <w:lang w:val="en-US"/>
              </w:rPr>
              <w:t>SPH</w:t>
            </w:r>
          </w:p>
        </w:tc>
        <w:tc>
          <w:tcPr>
            <w:tcW w:w="850" w:type="dxa"/>
            <w:tcBorders>
              <w:bottom w:val="single" w:sz="4" w:space="0" w:color="auto"/>
            </w:tcBorders>
            <w:vAlign w:val="center"/>
          </w:tcPr>
          <w:p w14:paraId="7FE62A65" w14:textId="08BDDA58" w:rsidR="0097169C" w:rsidRPr="006A56FF" w:rsidRDefault="00A20DA6" w:rsidP="006C4793">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97169C" w:rsidRPr="006A56FF" w:rsidRDefault="000116F3" w:rsidP="006C4793">
            <w:pPr>
              <w:rPr>
                <w:sz w:val="20"/>
                <w:lang w:val="en-US"/>
              </w:rPr>
            </w:pPr>
            <w:r w:rsidRPr="006A56FF">
              <w:rPr>
                <w:sz w:val="20"/>
                <w:lang w:val="en-US"/>
              </w:rPr>
              <w:t>21.83</w:t>
            </w:r>
          </w:p>
        </w:tc>
        <w:tc>
          <w:tcPr>
            <w:tcW w:w="710" w:type="dxa"/>
            <w:tcBorders>
              <w:bottom w:val="single" w:sz="4" w:space="0" w:color="auto"/>
            </w:tcBorders>
            <w:vAlign w:val="center"/>
          </w:tcPr>
          <w:p w14:paraId="2903CB76" w14:textId="64F5138B" w:rsidR="0097169C" w:rsidRPr="006A56FF" w:rsidRDefault="000116F3" w:rsidP="006C4793">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97169C" w:rsidRPr="006A56FF" w:rsidRDefault="000116F3" w:rsidP="006C4793">
            <w:pPr>
              <w:rPr>
                <w:sz w:val="20"/>
                <w:lang w:val="en-US"/>
              </w:rPr>
            </w:pPr>
            <w:r w:rsidRPr="006A56FF">
              <w:rPr>
                <w:sz w:val="20"/>
                <w:lang w:val="en-US"/>
              </w:rPr>
              <w:t>86.9</w:t>
            </w:r>
          </w:p>
        </w:tc>
      </w:tr>
      <w:tr w:rsidR="0097169C" w:rsidRPr="006A56FF" w14:paraId="2D32AFAD" w14:textId="7065FDA9" w:rsidTr="00094C4D">
        <w:trPr>
          <w:trHeight w:val="283"/>
        </w:trPr>
        <w:tc>
          <w:tcPr>
            <w:tcW w:w="3969" w:type="dxa"/>
            <w:tcBorders>
              <w:top w:val="single" w:sz="4" w:space="0" w:color="auto"/>
              <w:bottom w:val="single" w:sz="4" w:space="0" w:color="auto"/>
            </w:tcBorders>
            <w:shd w:val="clear" w:color="auto" w:fill="auto"/>
            <w:vAlign w:val="center"/>
          </w:tcPr>
          <w:p w14:paraId="259EF9C1" w14:textId="21D590A2" w:rsidR="0097169C" w:rsidRPr="006A56FF" w:rsidRDefault="00E22111" w:rsidP="006C4793">
            <w:pPr>
              <w:rPr>
                <w:sz w:val="20"/>
                <w:lang w:val="en-US"/>
              </w:rPr>
            </w:pPr>
            <w:r w:rsidRPr="006A56FF">
              <w:rPr>
                <w:i/>
                <w:sz w:val="20"/>
                <w:lang w:val="en-US"/>
              </w:rPr>
              <w:t>Qualitative indicators</w:t>
            </w:r>
          </w:p>
        </w:tc>
        <w:tc>
          <w:tcPr>
            <w:tcW w:w="1276" w:type="dxa"/>
            <w:tcBorders>
              <w:top w:val="single" w:sz="4" w:space="0" w:color="auto"/>
              <w:bottom w:val="single" w:sz="4" w:space="0" w:color="auto"/>
            </w:tcBorders>
            <w:vAlign w:val="center"/>
          </w:tcPr>
          <w:p w14:paraId="5EE02838" w14:textId="2712B408" w:rsidR="0097169C" w:rsidRPr="006A56FF" w:rsidRDefault="0097169C" w:rsidP="006C4793">
            <w:pPr>
              <w:rPr>
                <w:sz w:val="20"/>
                <w:lang w:val="en-US"/>
              </w:rPr>
            </w:pPr>
          </w:p>
        </w:tc>
        <w:tc>
          <w:tcPr>
            <w:tcW w:w="850" w:type="dxa"/>
            <w:tcBorders>
              <w:top w:val="single" w:sz="4" w:space="0" w:color="auto"/>
              <w:bottom w:val="single" w:sz="4" w:space="0" w:color="auto"/>
            </w:tcBorders>
            <w:vAlign w:val="center"/>
          </w:tcPr>
          <w:p w14:paraId="5873D4A5" w14:textId="12C83E82" w:rsidR="0097169C" w:rsidRPr="006A56FF" w:rsidRDefault="0097169C" w:rsidP="006C4793">
            <w:pPr>
              <w:rPr>
                <w:sz w:val="20"/>
                <w:lang w:val="en-US"/>
              </w:rPr>
            </w:pPr>
          </w:p>
        </w:tc>
        <w:tc>
          <w:tcPr>
            <w:tcW w:w="851" w:type="dxa"/>
            <w:tcBorders>
              <w:top w:val="single" w:sz="4" w:space="0" w:color="auto"/>
              <w:bottom w:val="single" w:sz="4" w:space="0" w:color="auto"/>
            </w:tcBorders>
            <w:vAlign w:val="center"/>
          </w:tcPr>
          <w:p w14:paraId="6EB191C9" w14:textId="357A718A" w:rsidR="0097169C" w:rsidRPr="006A56FF" w:rsidRDefault="0097169C" w:rsidP="006C4793">
            <w:pPr>
              <w:rPr>
                <w:sz w:val="20"/>
                <w:lang w:val="en-US"/>
              </w:rPr>
            </w:pPr>
          </w:p>
        </w:tc>
        <w:tc>
          <w:tcPr>
            <w:tcW w:w="710" w:type="dxa"/>
            <w:tcBorders>
              <w:top w:val="single" w:sz="4" w:space="0" w:color="auto"/>
              <w:bottom w:val="single" w:sz="4" w:space="0" w:color="auto"/>
            </w:tcBorders>
            <w:vAlign w:val="center"/>
          </w:tcPr>
          <w:p w14:paraId="13C12D17" w14:textId="77777777" w:rsidR="0097169C" w:rsidRPr="006A56FF" w:rsidRDefault="0097169C" w:rsidP="006C4793">
            <w:pPr>
              <w:rPr>
                <w:sz w:val="20"/>
                <w:lang w:val="en-US"/>
              </w:rPr>
            </w:pPr>
          </w:p>
        </w:tc>
        <w:tc>
          <w:tcPr>
            <w:tcW w:w="991" w:type="dxa"/>
            <w:tcBorders>
              <w:top w:val="single" w:sz="4" w:space="0" w:color="auto"/>
              <w:bottom w:val="single" w:sz="4" w:space="0" w:color="auto"/>
            </w:tcBorders>
            <w:vAlign w:val="center"/>
          </w:tcPr>
          <w:p w14:paraId="74EB8605" w14:textId="77777777" w:rsidR="0097169C" w:rsidRPr="006A56FF" w:rsidRDefault="0097169C" w:rsidP="006C4793">
            <w:pPr>
              <w:rPr>
                <w:sz w:val="20"/>
                <w:lang w:val="en-US"/>
              </w:rPr>
            </w:pPr>
          </w:p>
        </w:tc>
      </w:tr>
      <w:tr w:rsidR="000116F3" w:rsidRPr="006A56FF" w14:paraId="182AFD29" w14:textId="0A8176A4" w:rsidTr="00094C4D">
        <w:trPr>
          <w:trHeight w:val="283"/>
        </w:trPr>
        <w:tc>
          <w:tcPr>
            <w:tcW w:w="3969" w:type="dxa"/>
            <w:tcBorders>
              <w:top w:val="single" w:sz="4" w:space="0" w:color="auto"/>
            </w:tcBorders>
            <w:shd w:val="clear" w:color="auto" w:fill="auto"/>
            <w:vAlign w:val="center"/>
          </w:tcPr>
          <w:p w14:paraId="0C8A49CE" w14:textId="41F2DF7E" w:rsidR="000116F3" w:rsidRPr="006A56FF" w:rsidRDefault="000116F3" w:rsidP="00BB0F4E">
            <w:pPr>
              <w:ind w:firstLine="142"/>
              <w:rPr>
                <w:sz w:val="20"/>
                <w:lang w:val="en-US"/>
              </w:rPr>
            </w:pPr>
            <w:r w:rsidRPr="006A56FF">
              <w:rPr>
                <w:sz w:val="20"/>
                <w:lang w:val="en-US"/>
              </w:rPr>
              <w:t xml:space="preserve">Cash </w:t>
            </w:r>
            <w:r w:rsidR="00BB0F4E">
              <w:rPr>
                <w:sz w:val="20"/>
                <w:lang w:val="en-US"/>
              </w:rPr>
              <w:t>A</w:t>
            </w:r>
            <w:r w:rsidRPr="006A56FF">
              <w:rPr>
                <w:sz w:val="20"/>
                <w:lang w:val="en-US"/>
              </w:rPr>
              <w:t>vailability</w:t>
            </w:r>
            <w:r w:rsidR="00BB0F4E">
              <w:rPr>
                <w:sz w:val="20"/>
                <w:lang w:val="en-US"/>
              </w:rPr>
              <w:t xml:space="preserve"> of cash </w:t>
            </w:r>
            <w:proofErr w:type="spellStart"/>
            <w:r w:rsidR="00BB0F4E">
              <w:rPr>
                <w:sz w:val="20"/>
                <w:lang w:val="en-US"/>
              </w:rPr>
              <w:t>ebenfits</w:t>
            </w:r>
            <w:proofErr w:type="spellEnd"/>
            <w:r w:rsidRPr="006A56FF">
              <w:rPr>
                <w:sz w:val="20"/>
                <w:lang w:val="en-US"/>
              </w:rPr>
              <w:t xml:space="preserve"> (</w:t>
            </w:r>
            <w:r w:rsidR="00BB0F4E">
              <w:rPr>
                <w:sz w:val="20"/>
                <w:lang w:val="en-US"/>
              </w:rPr>
              <w:t xml:space="preserve">only </w:t>
            </w:r>
            <w:proofErr w:type="spellStart"/>
            <w:r w:rsidR="00BB0F4E">
              <w:rPr>
                <w:sz w:val="20"/>
                <w:lang w:val="en-US"/>
              </w:rPr>
              <w:t>i</w:t>
            </w:r>
            <w:r w:rsidRPr="006A56FF">
              <w:rPr>
                <w:sz w:val="20"/>
                <w:lang w:val="en-US"/>
              </w:rPr>
              <w:t>nkind</w:t>
            </w:r>
            <w:proofErr w:type="spellEnd"/>
            <w:r w:rsidRPr="006A56FF">
              <w:rPr>
                <w:sz w:val="20"/>
                <w:lang w:val="en-US"/>
              </w:rPr>
              <w:t>, Bound, Unbound)</w:t>
            </w:r>
          </w:p>
        </w:tc>
        <w:tc>
          <w:tcPr>
            <w:tcW w:w="1276" w:type="dxa"/>
            <w:tcBorders>
              <w:top w:val="single" w:sz="4" w:space="0" w:color="auto"/>
            </w:tcBorders>
            <w:vAlign w:val="center"/>
          </w:tcPr>
          <w:p w14:paraId="303E2207" w14:textId="453D6DF0" w:rsidR="000116F3" w:rsidRPr="006A56FF" w:rsidRDefault="000116F3" w:rsidP="000116F3">
            <w:pPr>
              <w:rPr>
                <w:sz w:val="20"/>
                <w:lang w:val="en-US"/>
              </w:rPr>
            </w:pPr>
            <w:r w:rsidRPr="006A56FF">
              <w:rPr>
                <w:sz w:val="20"/>
                <w:lang w:val="en-US"/>
              </w:rPr>
              <w:t>CA</w:t>
            </w:r>
            <w:r w:rsidR="00185A42">
              <w:rPr>
                <w:sz w:val="20"/>
                <w:lang w:val="en-US"/>
              </w:rPr>
              <w:t>SH</w:t>
            </w:r>
          </w:p>
        </w:tc>
        <w:tc>
          <w:tcPr>
            <w:tcW w:w="850" w:type="dxa"/>
            <w:tcBorders>
              <w:top w:val="single" w:sz="4" w:space="0" w:color="auto"/>
            </w:tcBorders>
            <w:vAlign w:val="center"/>
          </w:tcPr>
          <w:p w14:paraId="5AAC373D" w14:textId="348CAB2B" w:rsidR="000116F3" w:rsidRPr="006A56FF" w:rsidRDefault="000116F3" w:rsidP="000116F3">
            <w:pPr>
              <w:rPr>
                <w:sz w:val="20"/>
                <w:lang w:val="en-US"/>
              </w:rPr>
            </w:pPr>
            <w:r w:rsidRPr="006A56FF">
              <w:rPr>
                <w:sz w:val="20"/>
                <w:lang w:val="en-US"/>
              </w:rPr>
              <w:t>1.08</w:t>
            </w:r>
          </w:p>
        </w:tc>
        <w:tc>
          <w:tcPr>
            <w:tcW w:w="851" w:type="dxa"/>
            <w:tcBorders>
              <w:top w:val="single" w:sz="4" w:space="0" w:color="auto"/>
            </w:tcBorders>
            <w:vAlign w:val="center"/>
          </w:tcPr>
          <w:p w14:paraId="1BD0110E" w14:textId="3D6D68F2" w:rsidR="000116F3" w:rsidRPr="006A56FF" w:rsidRDefault="000116F3" w:rsidP="000116F3">
            <w:pPr>
              <w:rPr>
                <w:sz w:val="20"/>
                <w:lang w:val="en-US"/>
              </w:rPr>
            </w:pPr>
            <w:r w:rsidRPr="006A56FF">
              <w:rPr>
                <w:sz w:val="20"/>
                <w:lang w:val="en-US"/>
              </w:rPr>
              <w:t>0.81</w:t>
            </w:r>
          </w:p>
        </w:tc>
        <w:tc>
          <w:tcPr>
            <w:tcW w:w="710" w:type="dxa"/>
            <w:tcBorders>
              <w:top w:val="single" w:sz="4" w:space="0" w:color="auto"/>
            </w:tcBorders>
            <w:vAlign w:val="center"/>
          </w:tcPr>
          <w:p w14:paraId="23B118C5" w14:textId="28FBB9AD" w:rsidR="000116F3" w:rsidRPr="006A56FF" w:rsidRDefault="000116F3" w:rsidP="000116F3">
            <w:pPr>
              <w:rPr>
                <w:sz w:val="20"/>
                <w:lang w:val="en-US"/>
              </w:rPr>
            </w:pPr>
            <w:r w:rsidRPr="006A56FF">
              <w:rPr>
                <w:sz w:val="20"/>
                <w:lang w:val="en-US"/>
              </w:rPr>
              <w:t>0</w:t>
            </w:r>
          </w:p>
        </w:tc>
        <w:tc>
          <w:tcPr>
            <w:tcW w:w="991" w:type="dxa"/>
            <w:tcBorders>
              <w:top w:val="single" w:sz="4" w:space="0" w:color="auto"/>
            </w:tcBorders>
            <w:vAlign w:val="center"/>
          </w:tcPr>
          <w:p w14:paraId="5C0FF0F7" w14:textId="7E445C10" w:rsidR="000116F3" w:rsidRPr="006A56FF" w:rsidRDefault="00C1373B" w:rsidP="000116F3">
            <w:pPr>
              <w:rPr>
                <w:sz w:val="20"/>
                <w:lang w:val="en-US"/>
              </w:rPr>
            </w:pPr>
            <w:r>
              <w:rPr>
                <w:sz w:val="20"/>
                <w:lang w:val="en-US"/>
              </w:rPr>
              <w:t>2</w:t>
            </w:r>
          </w:p>
        </w:tc>
      </w:tr>
      <w:tr w:rsidR="000116F3" w:rsidRPr="006A56FF" w14:paraId="259B2427" w14:textId="77777777" w:rsidTr="00094C4D">
        <w:trPr>
          <w:trHeight w:val="283"/>
        </w:trPr>
        <w:tc>
          <w:tcPr>
            <w:tcW w:w="3969" w:type="dxa"/>
            <w:shd w:val="clear" w:color="auto" w:fill="auto"/>
            <w:vAlign w:val="center"/>
          </w:tcPr>
          <w:p w14:paraId="789BD075" w14:textId="1D7BCEDB" w:rsidR="000116F3" w:rsidRPr="006A56FF" w:rsidRDefault="000116F3" w:rsidP="000116F3">
            <w:pPr>
              <w:ind w:firstLine="142"/>
              <w:rPr>
                <w:sz w:val="20"/>
                <w:lang w:val="en-US"/>
              </w:rPr>
            </w:pPr>
            <w:r w:rsidRPr="006A56FF">
              <w:rPr>
                <w:sz w:val="20"/>
                <w:lang w:val="en-US"/>
              </w:rPr>
              <w:t>Choice Index (Free, Limited, No benefits)</w:t>
            </w:r>
          </w:p>
        </w:tc>
        <w:tc>
          <w:tcPr>
            <w:tcW w:w="1276" w:type="dxa"/>
            <w:vAlign w:val="center"/>
          </w:tcPr>
          <w:p w14:paraId="0C990886" w14:textId="35004123" w:rsidR="000116F3" w:rsidRPr="006A56FF" w:rsidRDefault="000116F3" w:rsidP="000116F3">
            <w:pPr>
              <w:rPr>
                <w:sz w:val="20"/>
                <w:lang w:val="en-US"/>
              </w:rPr>
            </w:pPr>
            <w:r w:rsidRPr="006A56FF">
              <w:rPr>
                <w:sz w:val="20"/>
                <w:lang w:val="en-US"/>
              </w:rPr>
              <w:t>CIDX</w:t>
            </w:r>
          </w:p>
        </w:tc>
        <w:tc>
          <w:tcPr>
            <w:tcW w:w="850" w:type="dxa"/>
            <w:vAlign w:val="center"/>
          </w:tcPr>
          <w:p w14:paraId="65E8C56F" w14:textId="65CFB70D" w:rsidR="000116F3" w:rsidRPr="006A56FF" w:rsidRDefault="000116F3" w:rsidP="000116F3">
            <w:pPr>
              <w:rPr>
                <w:sz w:val="20"/>
                <w:lang w:val="en-US"/>
              </w:rPr>
            </w:pPr>
            <w:r w:rsidRPr="006A56FF">
              <w:rPr>
                <w:sz w:val="20"/>
                <w:lang w:val="en-US"/>
              </w:rPr>
              <w:t>1.64</w:t>
            </w:r>
          </w:p>
        </w:tc>
        <w:tc>
          <w:tcPr>
            <w:tcW w:w="851" w:type="dxa"/>
            <w:vAlign w:val="center"/>
          </w:tcPr>
          <w:p w14:paraId="2DEB1B7A" w14:textId="295FD4BF" w:rsidR="000116F3" w:rsidRPr="006A56FF" w:rsidRDefault="000116F3" w:rsidP="000116F3">
            <w:pPr>
              <w:rPr>
                <w:sz w:val="20"/>
                <w:lang w:val="en-US"/>
              </w:rPr>
            </w:pPr>
            <w:r w:rsidRPr="006A56FF">
              <w:rPr>
                <w:sz w:val="20"/>
                <w:lang w:val="en-US"/>
              </w:rPr>
              <w:t>0.5</w:t>
            </w:r>
          </w:p>
        </w:tc>
        <w:tc>
          <w:tcPr>
            <w:tcW w:w="710" w:type="dxa"/>
            <w:vAlign w:val="center"/>
          </w:tcPr>
          <w:p w14:paraId="2F89DD3B" w14:textId="5C0EF731" w:rsidR="000116F3" w:rsidRPr="006A56FF" w:rsidRDefault="000116F3" w:rsidP="000116F3">
            <w:pPr>
              <w:rPr>
                <w:sz w:val="20"/>
                <w:lang w:val="en-US"/>
              </w:rPr>
            </w:pPr>
            <w:r w:rsidRPr="006A56FF">
              <w:rPr>
                <w:sz w:val="20"/>
                <w:lang w:val="en-US"/>
              </w:rPr>
              <w:t>0</w:t>
            </w:r>
          </w:p>
        </w:tc>
        <w:tc>
          <w:tcPr>
            <w:tcW w:w="991" w:type="dxa"/>
            <w:vAlign w:val="center"/>
          </w:tcPr>
          <w:p w14:paraId="56F8E5F7" w14:textId="65FE109E" w:rsidR="000116F3" w:rsidRPr="006A56FF" w:rsidRDefault="00C1373B" w:rsidP="000116F3">
            <w:pPr>
              <w:rPr>
                <w:sz w:val="20"/>
                <w:lang w:val="en-US"/>
              </w:rPr>
            </w:pPr>
            <w:r>
              <w:rPr>
                <w:sz w:val="20"/>
                <w:lang w:val="en-US"/>
              </w:rPr>
              <w:t>4</w:t>
            </w:r>
          </w:p>
        </w:tc>
      </w:tr>
      <w:tr w:rsidR="000116F3" w:rsidRPr="006A56FF" w14:paraId="0F774AE8" w14:textId="6A9C24CC" w:rsidTr="00094C4D">
        <w:trPr>
          <w:trHeight w:val="283"/>
        </w:trPr>
        <w:tc>
          <w:tcPr>
            <w:tcW w:w="3969" w:type="dxa"/>
            <w:shd w:val="clear" w:color="auto" w:fill="auto"/>
            <w:vAlign w:val="center"/>
          </w:tcPr>
          <w:p w14:paraId="443ED4C7" w14:textId="227CD8B8" w:rsidR="000116F3" w:rsidRPr="006A56FF" w:rsidRDefault="000116F3" w:rsidP="000116F3">
            <w:pPr>
              <w:ind w:firstLine="284"/>
              <w:rPr>
                <w:sz w:val="20"/>
                <w:lang w:val="en-US"/>
              </w:rPr>
            </w:pPr>
            <w:r w:rsidRPr="006A56FF">
              <w:rPr>
                <w:sz w:val="20"/>
                <w:lang w:val="en-US"/>
              </w:rPr>
              <w:t>Choice of homecare provider</w:t>
            </w:r>
          </w:p>
        </w:tc>
        <w:tc>
          <w:tcPr>
            <w:tcW w:w="1276" w:type="dxa"/>
            <w:vAlign w:val="center"/>
          </w:tcPr>
          <w:p w14:paraId="3975A9B0" w14:textId="7BE08755" w:rsidR="000116F3" w:rsidRPr="006A56FF" w:rsidRDefault="000116F3" w:rsidP="000116F3">
            <w:pPr>
              <w:rPr>
                <w:sz w:val="20"/>
                <w:lang w:val="en-US"/>
              </w:rPr>
            </w:pPr>
            <w:r w:rsidRPr="006A56FF">
              <w:rPr>
                <w:sz w:val="20"/>
                <w:lang w:val="en-US"/>
              </w:rPr>
              <w:t>HC</w:t>
            </w:r>
          </w:p>
        </w:tc>
        <w:tc>
          <w:tcPr>
            <w:tcW w:w="850" w:type="dxa"/>
            <w:vAlign w:val="center"/>
          </w:tcPr>
          <w:p w14:paraId="71FBA525" w14:textId="67C2873A" w:rsidR="000116F3" w:rsidRPr="006A56FF" w:rsidRDefault="000116F3" w:rsidP="000116F3">
            <w:pPr>
              <w:rPr>
                <w:sz w:val="20"/>
                <w:lang w:val="en-US"/>
              </w:rPr>
            </w:pPr>
            <w:r w:rsidRPr="006A56FF">
              <w:rPr>
                <w:sz w:val="20"/>
                <w:lang w:val="en-US"/>
              </w:rPr>
              <w:t>0.4</w:t>
            </w:r>
          </w:p>
        </w:tc>
        <w:tc>
          <w:tcPr>
            <w:tcW w:w="851" w:type="dxa"/>
            <w:vAlign w:val="center"/>
          </w:tcPr>
          <w:p w14:paraId="5DFB5EF8" w14:textId="5C716C24" w:rsidR="000116F3" w:rsidRPr="006A56FF" w:rsidRDefault="000116F3" w:rsidP="000116F3">
            <w:pPr>
              <w:rPr>
                <w:sz w:val="20"/>
                <w:lang w:val="en-US"/>
              </w:rPr>
            </w:pPr>
            <w:r w:rsidRPr="006A56FF">
              <w:rPr>
                <w:sz w:val="20"/>
                <w:lang w:val="en-US"/>
              </w:rPr>
              <w:t>0.49</w:t>
            </w:r>
          </w:p>
        </w:tc>
        <w:tc>
          <w:tcPr>
            <w:tcW w:w="710" w:type="dxa"/>
            <w:vAlign w:val="center"/>
          </w:tcPr>
          <w:p w14:paraId="033C83A0" w14:textId="452DE85E" w:rsidR="000116F3" w:rsidRPr="006A56FF" w:rsidRDefault="000116F3" w:rsidP="000116F3">
            <w:pPr>
              <w:rPr>
                <w:sz w:val="20"/>
                <w:lang w:val="en-US"/>
              </w:rPr>
            </w:pPr>
            <w:r w:rsidRPr="006A56FF">
              <w:rPr>
                <w:sz w:val="20"/>
                <w:lang w:val="en-US"/>
              </w:rPr>
              <w:t>0</w:t>
            </w:r>
          </w:p>
        </w:tc>
        <w:tc>
          <w:tcPr>
            <w:tcW w:w="991" w:type="dxa"/>
            <w:vAlign w:val="center"/>
          </w:tcPr>
          <w:p w14:paraId="4392389D" w14:textId="77299B74" w:rsidR="000116F3" w:rsidRPr="006A56FF" w:rsidRDefault="000116F3" w:rsidP="000116F3">
            <w:pPr>
              <w:rPr>
                <w:sz w:val="20"/>
                <w:lang w:val="en-US"/>
              </w:rPr>
            </w:pPr>
            <w:r w:rsidRPr="006A56FF">
              <w:rPr>
                <w:sz w:val="20"/>
                <w:lang w:val="en-US"/>
              </w:rPr>
              <w:t>1</w:t>
            </w:r>
          </w:p>
        </w:tc>
      </w:tr>
      <w:tr w:rsidR="000116F3" w:rsidRPr="006A56FF" w14:paraId="3EF793DD" w14:textId="5B92AE4F" w:rsidTr="00094C4D">
        <w:trPr>
          <w:trHeight w:val="283"/>
        </w:trPr>
        <w:tc>
          <w:tcPr>
            <w:tcW w:w="3969" w:type="dxa"/>
            <w:shd w:val="clear" w:color="auto" w:fill="auto"/>
            <w:vAlign w:val="center"/>
          </w:tcPr>
          <w:p w14:paraId="6E814E97" w14:textId="04AB34A0" w:rsidR="000116F3" w:rsidRPr="006A56FF" w:rsidRDefault="000116F3" w:rsidP="000116F3">
            <w:pPr>
              <w:ind w:firstLine="284"/>
              <w:rPr>
                <w:sz w:val="20"/>
                <w:lang w:val="en-US"/>
              </w:rPr>
            </w:pPr>
            <w:r w:rsidRPr="006A56FF">
              <w:rPr>
                <w:sz w:val="20"/>
                <w:lang w:val="en-US"/>
              </w:rPr>
              <w:t>Choice of institutional care provider</w:t>
            </w:r>
          </w:p>
        </w:tc>
        <w:tc>
          <w:tcPr>
            <w:tcW w:w="1276" w:type="dxa"/>
            <w:vAlign w:val="center"/>
          </w:tcPr>
          <w:p w14:paraId="71B0EC6A" w14:textId="07160C3D" w:rsidR="000116F3" w:rsidRPr="006A56FF" w:rsidRDefault="000116F3" w:rsidP="000116F3">
            <w:pPr>
              <w:rPr>
                <w:sz w:val="20"/>
                <w:lang w:val="en-US"/>
              </w:rPr>
            </w:pPr>
            <w:r w:rsidRPr="006A56FF">
              <w:rPr>
                <w:sz w:val="20"/>
                <w:lang w:val="en-US"/>
              </w:rPr>
              <w:t>IC</w:t>
            </w:r>
          </w:p>
        </w:tc>
        <w:tc>
          <w:tcPr>
            <w:tcW w:w="850" w:type="dxa"/>
            <w:vAlign w:val="center"/>
          </w:tcPr>
          <w:p w14:paraId="2B6A9E90" w14:textId="28E336E4" w:rsidR="000116F3" w:rsidRPr="006A56FF" w:rsidRDefault="000116F3" w:rsidP="000116F3">
            <w:pPr>
              <w:rPr>
                <w:sz w:val="20"/>
                <w:lang w:val="en-US"/>
              </w:rPr>
            </w:pPr>
            <w:r w:rsidRPr="006A56FF">
              <w:rPr>
                <w:sz w:val="20"/>
                <w:lang w:val="en-US"/>
              </w:rPr>
              <w:t>0.36</w:t>
            </w:r>
          </w:p>
        </w:tc>
        <w:tc>
          <w:tcPr>
            <w:tcW w:w="851" w:type="dxa"/>
            <w:vAlign w:val="center"/>
          </w:tcPr>
          <w:p w14:paraId="3451BE20" w14:textId="064E893B" w:rsidR="000116F3" w:rsidRPr="006A56FF" w:rsidRDefault="000116F3" w:rsidP="000116F3">
            <w:pPr>
              <w:rPr>
                <w:sz w:val="20"/>
                <w:lang w:val="en-US"/>
              </w:rPr>
            </w:pPr>
            <w:r w:rsidRPr="006A56FF">
              <w:rPr>
                <w:sz w:val="20"/>
                <w:lang w:val="en-US"/>
              </w:rPr>
              <w:t>0.83</w:t>
            </w:r>
          </w:p>
        </w:tc>
        <w:tc>
          <w:tcPr>
            <w:tcW w:w="710" w:type="dxa"/>
            <w:vAlign w:val="center"/>
          </w:tcPr>
          <w:p w14:paraId="25360449" w14:textId="0D3848A0" w:rsidR="000116F3" w:rsidRPr="006A56FF" w:rsidRDefault="000116F3" w:rsidP="000116F3">
            <w:pPr>
              <w:rPr>
                <w:sz w:val="20"/>
                <w:lang w:val="en-US"/>
              </w:rPr>
            </w:pPr>
            <w:r w:rsidRPr="006A56FF">
              <w:rPr>
                <w:sz w:val="20"/>
                <w:lang w:val="en-US"/>
              </w:rPr>
              <w:t>0</w:t>
            </w:r>
          </w:p>
        </w:tc>
        <w:tc>
          <w:tcPr>
            <w:tcW w:w="991" w:type="dxa"/>
            <w:vAlign w:val="center"/>
          </w:tcPr>
          <w:p w14:paraId="244F3A77" w14:textId="66444971" w:rsidR="000116F3" w:rsidRPr="006A56FF" w:rsidRDefault="00661837" w:rsidP="000116F3">
            <w:pPr>
              <w:rPr>
                <w:sz w:val="20"/>
                <w:lang w:val="en-US"/>
              </w:rPr>
            </w:pPr>
            <w:r>
              <w:rPr>
                <w:sz w:val="20"/>
                <w:lang w:val="en-US"/>
              </w:rPr>
              <w:t>1</w:t>
            </w:r>
          </w:p>
        </w:tc>
      </w:tr>
      <w:tr w:rsidR="000116F3" w:rsidRPr="006A56FF" w14:paraId="369EC2A5" w14:textId="0E82A7D2" w:rsidTr="00094C4D">
        <w:trPr>
          <w:trHeight w:val="283"/>
        </w:trPr>
        <w:tc>
          <w:tcPr>
            <w:tcW w:w="3969" w:type="dxa"/>
            <w:shd w:val="clear" w:color="auto" w:fill="auto"/>
            <w:vAlign w:val="center"/>
          </w:tcPr>
          <w:p w14:paraId="3AF04EA4" w14:textId="566EDA33" w:rsidR="000116F3" w:rsidRPr="006A56FF" w:rsidRDefault="000116F3" w:rsidP="000116F3">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005BCC0" w14:textId="796A4A1D" w:rsidR="000116F3" w:rsidRPr="006A56FF" w:rsidRDefault="000116F3" w:rsidP="000116F3">
            <w:pPr>
              <w:rPr>
                <w:sz w:val="20"/>
                <w:lang w:val="en-US"/>
              </w:rPr>
            </w:pPr>
            <w:r w:rsidRPr="006A56FF">
              <w:rPr>
                <w:sz w:val="20"/>
                <w:lang w:val="en-US"/>
              </w:rPr>
              <w:t>CVSI</w:t>
            </w:r>
          </w:p>
        </w:tc>
        <w:tc>
          <w:tcPr>
            <w:tcW w:w="850" w:type="dxa"/>
            <w:vAlign w:val="center"/>
          </w:tcPr>
          <w:p w14:paraId="6726DD0D" w14:textId="7D43B0D1" w:rsidR="000116F3" w:rsidRPr="006A56FF" w:rsidRDefault="000116F3" w:rsidP="000116F3">
            <w:pPr>
              <w:rPr>
                <w:sz w:val="20"/>
                <w:lang w:val="en-US"/>
              </w:rPr>
            </w:pPr>
            <w:r w:rsidRPr="006A56FF">
              <w:rPr>
                <w:sz w:val="20"/>
                <w:lang w:val="en-US"/>
              </w:rPr>
              <w:t>0.88</w:t>
            </w:r>
          </w:p>
        </w:tc>
        <w:tc>
          <w:tcPr>
            <w:tcW w:w="851" w:type="dxa"/>
            <w:vAlign w:val="center"/>
          </w:tcPr>
          <w:p w14:paraId="58FB2A9E" w14:textId="0DF36258" w:rsidR="000116F3" w:rsidRPr="006A56FF" w:rsidRDefault="000116F3" w:rsidP="000116F3">
            <w:pPr>
              <w:rPr>
                <w:sz w:val="20"/>
                <w:lang w:val="en-US"/>
              </w:rPr>
            </w:pPr>
            <w:r w:rsidRPr="006A56FF">
              <w:rPr>
                <w:sz w:val="20"/>
                <w:lang w:val="en-US"/>
              </w:rPr>
              <w:t>1.25</w:t>
            </w:r>
          </w:p>
        </w:tc>
        <w:tc>
          <w:tcPr>
            <w:tcW w:w="710" w:type="dxa"/>
            <w:vAlign w:val="center"/>
          </w:tcPr>
          <w:p w14:paraId="456CECCB" w14:textId="4346D9DF" w:rsidR="000116F3" w:rsidRPr="006A56FF" w:rsidRDefault="000116F3" w:rsidP="000116F3">
            <w:pPr>
              <w:rPr>
                <w:sz w:val="20"/>
                <w:lang w:val="en-US"/>
              </w:rPr>
            </w:pPr>
            <w:r w:rsidRPr="006A56FF">
              <w:rPr>
                <w:sz w:val="20"/>
                <w:lang w:val="en-US"/>
              </w:rPr>
              <w:t>0</w:t>
            </w:r>
          </w:p>
        </w:tc>
        <w:tc>
          <w:tcPr>
            <w:tcW w:w="991" w:type="dxa"/>
            <w:vAlign w:val="center"/>
          </w:tcPr>
          <w:p w14:paraId="7EC508DA" w14:textId="11AEDBE5" w:rsidR="000116F3" w:rsidRPr="006A56FF" w:rsidRDefault="00661837" w:rsidP="000116F3">
            <w:pPr>
              <w:rPr>
                <w:sz w:val="20"/>
                <w:lang w:val="en-US"/>
              </w:rPr>
            </w:pPr>
            <w:r>
              <w:rPr>
                <w:sz w:val="20"/>
                <w:lang w:val="en-US"/>
              </w:rPr>
              <w:t>2</w:t>
            </w:r>
          </w:p>
        </w:tc>
      </w:tr>
      <w:tr w:rsidR="000116F3" w:rsidRPr="006A56FF" w14:paraId="32E5B4E7" w14:textId="77777777" w:rsidTr="00094C4D">
        <w:trPr>
          <w:trHeight w:val="283"/>
        </w:trPr>
        <w:tc>
          <w:tcPr>
            <w:tcW w:w="3969" w:type="dxa"/>
            <w:tcBorders>
              <w:bottom w:val="single" w:sz="4" w:space="0" w:color="auto"/>
            </w:tcBorders>
            <w:shd w:val="clear" w:color="auto" w:fill="auto"/>
            <w:vAlign w:val="center"/>
          </w:tcPr>
          <w:p w14:paraId="3328BC79" w14:textId="07AA81C2" w:rsidR="000116F3" w:rsidRPr="006A56FF" w:rsidRDefault="000116F3" w:rsidP="000116F3">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0116F3" w:rsidRPr="006A56FF" w:rsidRDefault="000116F3" w:rsidP="000116F3">
            <w:pPr>
              <w:rPr>
                <w:sz w:val="20"/>
                <w:lang w:val="en-US"/>
              </w:rPr>
            </w:pPr>
            <w:r w:rsidRPr="006A56FF">
              <w:rPr>
                <w:sz w:val="20"/>
                <w:lang w:val="en-US"/>
              </w:rPr>
              <w:t>MTAB</w:t>
            </w:r>
          </w:p>
        </w:tc>
        <w:tc>
          <w:tcPr>
            <w:tcW w:w="850" w:type="dxa"/>
            <w:tcBorders>
              <w:bottom w:val="single" w:sz="4" w:space="0" w:color="auto"/>
            </w:tcBorders>
            <w:vAlign w:val="center"/>
          </w:tcPr>
          <w:p w14:paraId="0D377429" w14:textId="0E5E98B8" w:rsidR="000116F3" w:rsidRPr="006A56FF" w:rsidRDefault="000116F3" w:rsidP="000116F3">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0116F3" w:rsidRPr="006A56FF" w:rsidRDefault="000116F3" w:rsidP="000116F3">
            <w:pPr>
              <w:rPr>
                <w:sz w:val="20"/>
                <w:lang w:val="en-US"/>
              </w:rPr>
            </w:pPr>
            <w:r w:rsidRPr="006A56FF">
              <w:rPr>
                <w:sz w:val="20"/>
                <w:lang w:val="en-US"/>
              </w:rPr>
              <w:t>0.51</w:t>
            </w:r>
          </w:p>
        </w:tc>
        <w:tc>
          <w:tcPr>
            <w:tcW w:w="710" w:type="dxa"/>
            <w:tcBorders>
              <w:bottom w:val="single" w:sz="4" w:space="0" w:color="auto"/>
            </w:tcBorders>
            <w:vAlign w:val="center"/>
          </w:tcPr>
          <w:p w14:paraId="1A6277FD" w14:textId="10211F40" w:rsidR="000116F3" w:rsidRPr="006A56FF" w:rsidRDefault="000116F3" w:rsidP="000116F3">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0116F3" w:rsidRPr="006A56FF" w:rsidRDefault="000116F3" w:rsidP="000116F3">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425FE7A6"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r w:rsidR="00185A42">
        <w:rPr>
          <w:szCs w:val="24"/>
        </w:rPr>
        <w:t xml:space="preserve">nearly </w:t>
      </w:r>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9" w:name="_Hlk42090690"/>
      <w:r w:rsidR="00AF2C2A" w:rsidRPr="006A56FF">
        <w:rPr>
          <w:szCs w:val="24"/>
        </w:rPr>
        <w:t xml:space="preserve">In the analysis we </w:t>
      </w:r>
      <w:del w:id="10" w:author="Mareike Ariaans" w:date="2020-06-23T12:28:00Z">
        <w:r w:rsidR="00AF2C2A" w:rsidRPr="006A56FF" w:rsidDel="00BB0F4E">
          <w:rPr>
            <w:szCs w:val="24"/>
          </w:rPr>
          <w:delText>focus on</w:delText>
        </w:r>
      </w:del>
      <w:ins w:id="11" w:author="Mareike Ariaans" w:date="2020-06-23T12:28:00Z">
        <w:r w:rsidR="00BB0F4E">
          <w:rPr>
            <w:szCs w:val="24"/>
          </w:rPr>
          <w:t xml:space="preserve"> use the</w:t>
        </w:r>
      </w:ins>
      <w:r w:rsidR="00AF2C2A" w:rsidRPr="006A56FF">
        <w:rPr>
          <w:szCs w:val="24"/>
        </w:rPr>
        <w:t xml:space="preserve"> average values of the years 2014-2016 since </w:t>
      </w:r>
      <w:commentRangeStart w:id="12"/>
      <w:r w:rsidR="00AF2C2A" w:rsidRPr="006A56FF">
        <w:rPr>
          <w:szCs w:val="24"/>
        </w:rPr>
        <w:t>data basis was best in this period</w:t>
      </w:r>
      <w:commentRangeEnd w:id="12"/>
      <w:r w:rsidR="00185A42">
        <w:rPr>
          <w:rStyle w:val="Kommentarzeichen"/>
          <w:lang w:val="de-DE"/>
        </w:rPr>
        <w:commentReference w:id="12"/>
      </w:r>
      <w:r w:rsidR="00AF2C2A" w:rsidRPr="006A56FF">
        <w:rPr>
          <w:szCs w:val="24"/>
        </w:rPr>
        <w:t xml:space="preserve">. </w:t>
      </w:r>
      <w:r w:rsidR="001F6140" w:rsidRPr="006A56FF">
        <w:rPr>
          <w:szCs w:val="24"/>
        </w:rPr>
        <w:t xml:space="preserve">To 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9"/>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r w:rsidR="00F42EE7" w:rsidRPr="00F42EE7">
        <w:rPr>
          <w:color w:val="FF0000"/>
          <w:szCs w:val="24"/>
        </w:rPr>
        <w:t xml:space="preserve">CIT: 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 xml:space="preserve">, we imputed missing mean values of indicators by predictive mean matching of the next neighbor, here the next year. If for example the value was missing in 2105 for a specific country, we estimated </w:t>
      </w:r>
      <w:r w:rsidR="00F42EE7" w:rsidRPr="00F42EE7">
        <w:rPr>
          <w:szCs w:val="24"/>
        </w:rPr>
        <w:lastRenderedPageBreak/>
        <w:t>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2)</w:t>
      </w:r>
      <w:r w:rsidR="006A56FF" w:rsidRPr="006A56FF">
        <w:rPr>
          <w:szCs w:val="24"/>
        </w:rPr>
        <w:t>.</w:t>
      </w:r>
    </w:p>
    <w:p w14:paraId="532420AF" w14:textId="5DD837F6" w:rsidR="006A56FF" w:rsidRDefault="00D672CA" w:rsidP="002A4B22">
      <w:pPr>
        <w:pStyle w:val="02FlietextEinzug"/>
        <w:rPr>
          <w:lang w:val="en-US"/>
        </w:rPr>
      </w:pPr>
      <w:r>
        <w:rPr>
          <w:lang w:val="en-US"/>
        </w:rPr>
        <w:t>Both, the selection of quantitative measures as well as developing the coding scheme to distill the qualitative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r w:rsidR="00F27022">
        <w:rPr>
          <w:lang w:val="en-US"/>
        </w:rPr>
        <w:t xml:space="preserve"> (</w:t>
      </w:r>
      <w:r w:rsidR="00E028AA" w:rsidRPr="00E028AA">
        <w:rPr>
          <w:color w:val="FF0000"/>
          <w:lang w:val="en-US"/>
        </w:rPr>
        <w:t xml:space="preserve">CIT: </w:t>
      </w:r>
      <w:r w:rsidR="00F27022" w:rsidRPr="00E028AA">
        <w:rPr>
          <w:color w:val="FF0000"/>
          <w:lang w:val="en-US"/>
        </w:rPr>
        <w:t>Milligan/Cooper 1987</w:t>
      </w:r>
      <w:r w:rsidR="00F27022">
        <w:rPr>
          <w:lang w:val="en-US"/>
        </w:rPr>
        <w:t>)</w:t>
      </w:r>
      <w:r w:rsidR="006A56FF">
        <w:rPr>
          <w:lang w:val="en-US"/>
        </w:rPr>
        <w:t xml:space="preserve">. </w:t>
      </w:r>
      <w:r w:rsidR="00F27022">
        <w:rPr>
          <w:lang w:val="en-US"/>
        </w:rPr>
        <w:t xml:space="preserve">While </w:t>
      </w:r>
      <w:r w:rsidR="00E028AA">
        <w:rPr>
          <w:lang w:val="en-US"/>
        </w:rPr>
        <w:t>availability</w:t>
      </w:r>
      <w:r w:rsidR="00BB0F4E">
        <w:rPr>
          <w:lang w:val="en-US"/>
        </w:rPr>
        <w:t xml:space="preserve"> of cash benefits</w:t>
      </w:r>
      <w:r w:rsidR="00E028AA">
        <w:rPr>
          <w:lang w:val="en-US"/>
        </w:rPr>
        <w:t xml:space="preserve"> (</w:t>
      </w:r>
      <w:r w:rsidR="00F27022">
        <w:rPr>
          <w:lang w:val="en-US"/>
        </w:rPr>
        <w:t>CA</w:t>
      </w:r>
      <w:r w:rsidR="00BB0F4E">
        <w:rPr>
          <w:lang w:val="en-US"/>
        </w:rPr>
        <w:t>SH</w:t>
      </w:r>
      <w:r w:rsidR="00E028AA">
        <w:rPr>
          <w:lang w:val="en-US"/>
        </w:rPr>
        <w:t>)</w:t>
      </w:r>
      <w:r w:rsidR="00F27022">
        <w:rPr>
          <w:lang w:val="en-US"/>
        </w:rPr>
        <w:t xml:space="preserve"> </w:t>
      </w:r>
      <w:r w:rsidR="00F27022" w:rsidRPr="00F27022">
        <w:rPr>
          <w:lang w:val="en-US"/>
        </w:rPr>
        <w:t>is singularly assigned to the dimension of provision</w:t>
      </w:r>
      <w:r w:rsidR="00F27022">
        <w:rPr>
          <w:lang w:val="en-US"/>
        </w:rPr>
        <w:t xml:space="preserve">, </w:t>
      </w:r>
      <w:r w:rsidR="00F27022" w:rsidRPr="00F27022">
        <w:rPr>
          <w:lang w:val="en-US"/>
        </w:rPr>
        <w:t xml:space="preserve">the dimension of access regulation </w:t>
      </w:r>
      <w:r w:rsidR="00675A89">
        <w:rPr>
          <w:lang w:val="en-US"/>
        </w:rPr>
        <w:t>consists</w:t>
      </w:r>
      <w:r w:rsidR="00F27022">
        <w:rPr>
          <w:lang w:val="en-US"/>
        </w:rPr>
        <w:t xml:space="preserve"> of </w:t>
      </w:r>
      <w:r w:rsidR="00F27022" w:rsidRPr="00F27022">
        <w:rPr>
          <w:lang w:val="en-US"/>
        </w:rPr>
        <w:t xml:space="preserve">two parts. </w:t>
      </w:r>
      <w:r w:rsidR="00675A89">
        <w:rPr>
          <w:lang w:val="en-US"/>
        </w:rPr>
        <w:t>We constructed a sum index (CIDX) consisting of</w:t>
      </w:r>
      <w:r w:rsidR="00F27022" w:rsidRPr="00F27022">
        <w:rPr>
          <w:lang w:val="en-US"/>
        </w:rPr>
        <w:t xml:space="preserve"> the </w:t>
      </w:r>
      <w:r w:rsidR="00F27022">
        <w:rPr>
          <w:lang w:val="en-US"/>
        </w:rPr>
        <w:t xml:space="preserve">three </w:t>
      </w:r>
      <w:r w:rsidR="00F27022" w:rsidRPr="00F27022">
        <w:rPr>
          <w:lang w:val="en-US"/>
        </w:rPr>
        <w:t>variables</w:t>
      </w:r>
      <w:r w:rsidR="00F27022">
        <w:rPr>
          <w:lang w:val="en-US"/>
        </w:rPr>
        <w:t xml:space="preserve"> of choice (homecare, institutional care and cash vs. </w:t>
      </w:r>
      <w:proofErr w:type="spellStart"/>
      <w:r w:rsidR="00F27022">
        <w:rPr>
          <w:lang w:val="en-US"/>
        </w:rPr>
        <w:t>inkind</w:t>
      </w:r>
      <w:proofErr w:type="spellEnd"/>
      <w:r w:rsidR="00F27022">
        <w:rPr>
          <w:lang w:val="en-US"/>
        </w:rPr>
        <w:t xml:space="preserve"> </w:t>
      </w:r>
      <w:commentRangeStart w:id="13"/>
      <w:r w:rsidR="00F27022">
        <w:rPr>
          <w:lang w:val="en-US"/>
        </w:rPr>
        <w:t>benefits</w:t>
      </w:r>
      <w:commentRangeEnd w:id="13"/>
      <w:r w:rsidR="00FA5BF6">
        <w:rPr>
          <w:rStyle w:val="Kommentarzeichen"/>
        </w:rPr>
        <w:commentReference w:id="13"/>
      </w:r>
      <w:r w:rsidR="00F27022">
        <w:rPr>
          <w:lang w:val="en-US"/>
        </w:rPr>
        <w:t>)</w:t>
      </w:r>
      <w:r w:rsidR="00675A89">
        <w:rPr>
          <w:lang w:val="en-US"/>
        </w:rPr>
        <w:t xml:space="preserve"> which is supplemented with the </w:t>
      </w:r>
      <w:r w:rsidR="00675A89" w:rsidRPr="00675A89">
        <w:rPr>
          <w:lang w:val="en-US"/>
        </w:rPr>
        <w:t xml:space="preserve">single indicator </w:t>
      </w:r>
      <w:r w:rsidR="009D02CC">
        <w:rPr>
          <w:lang w:val="en-US"/>
        </w:rPr>
        <w:t>means-testing for any benefit</w:t>
      </w:r>
      <w:r w:rsidR="00675A89" w:rsidRPr="00675A89">
        <w:rPr>
          <w:lang w:val="en-US"/>
        </w:rPr>
        <w:t>, reflecting the</w:t>
      </w:r>
      <w:r w:rsidR="009D02CC">
        <w:rPr>
          <w:lang w:val="en-US"/>
        </w:rPr>
        <w:t xml:space="preserve"> general</w:t>
      </w:r>
      <w:r w:rsidR="00675A89" w:rsidRPr="00675A89">
        <w:rPr>
          <w:lang w:val="en-US"/>
        </w:rPr>
        <w:t xml:space="preserve"> barrier of means-testing</w:t>
      </w:r>
      <w:r w:rsidR="00094C4D">
        <w:rPr>
          <w:lang w:val="en-US"/>
        </w:rPr>
        <w:t xml:space="preserve"> in access to long-term care.</w:t>
      </w:r>
    </w:p>
    <w:p w14:paraId="4448A413" w14:textId="548BB34D" w:rsidR="00E028AA" w:rsidRPr="006A56FF" w:rsidRDefault="00E028AA" w:rsidP="00E028AA">
      <w:pPr>
        <w:pStyle w:val="02FlietextEinzug"/>
        <w:jc w:val="center"/>
        <w:rPr>
          <w:lang w:val="en-US"/>
        </w:rPr>
      </w:pPr>
      <w:r w:rsidRPr="00E028AA">
        <w:rPr>
          <w:highlight w:val="yellow"/>
          <w:lang w:val="en-US"/>
        </w:rPr>
        <w:t>--- TABLE 2 ABOUT HERE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46AF0F90"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r w:rsidR="004B68A3" w:rsidRPr="00E028AA">
        <w:rPr>
          <w:color w:val="FF0000"/>
          <w:lang w:val="en-US"/>
        </w:rPr>
        <w:t>(</w:t>
      </w:r>
      <w:r w:rsidR="00E028AA" w:rsidRPr="00E028AA">
        <w:rPr>
          <w:color w:val="FF0000"/>
          <w:lang w:val="en-US"/>
        </w:rPr>
        <w:t xml:space="preserve">CIT: </w:t>
      </w:r>
      <w:r w:rsidR="004B68A3" w:rsidRPr="00E028AA">
        <w:rPr>
          <w:color w:val="FF0000"/>
          <w:lang w:val="en-US"/>
        </w:rPr>
        <w:t>Fonseca 2013)</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w:t>
      </w:r>
      <w:r w:rsidR="004B68A3">
        <w:rPr>
          <w:lang w:val="en-US"/>
        </w:rPr>
        <w:lastRenderedPageBreak/>
        <w:t xml:space="preserve">analysis is not appropriate for classifying </w:t>
      </w:r>
      <w:r w:rsidR="00440583">
        <w:rPr>
          <w:lang w:val="en-US"/>
        </w:rPr>
        <w:t xml:space="preserve">such complex long-term care </w:t>
      </w:r>
      <w:r w:rsidR="004B68A3">
        <w:rPr>
          <w:lang w:val="en-US"/>
        </w:rPr>
        <w:t xml:space="preserve">systems. The flexibility of the multi-cluster-analysis proposed by </w:t>
      </w:r>
      <w:r w:rsidR="00E028AA" w:rsidRPr="00E028AA">
        <w:rPr>
          <w:color w:val="FF0000"/>
          <w:lang w:val="en-US"/>
        </w:rPr>
        <w:t xml:space="preserve">CIT: </w:t>
      </w:r>
      <w:proofErr w:type="spellStart"/>
      <w:r w:rsidR="004B68A3" w:rsidRPr="00E028AA">
        <w:rPr>
          <w:color w:val="FF0000"/>
          <w:lang w:val="en-US"/>
        </w:rPr>
        <w:t>Reibling</w:t>
      </w:r>
      <w:proofErr w:type="spellEnd"/>
      <w:r w:rsidR="004B68A3" w:rsidRPr="00E028AA">
        <w:rPr>
          <w:color w:val="FF0000"/>
          <w:lang w:val="en-US"/>
        </w:rPr>
        <w:t xml:space="preserve"> et al. 2019: 615</w:t>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9D562C">
        <w:rPr>
          <w:lang w:val="en-US"/>
        </w:rPr>
        <w:t xml:space="preserve"> for each of the 24 separate cluster analysis</w:t>
      </w:r>
      <w:r w:rsidR="00574BF9">
        <w:rPr>
          <w:lang w:val="en-US"/>
        </w:rPr>
        <w:t>.</w:t>
      </w:r>
    </w:p>
    <w:p w14:paraId="62F2363A" w14:textId="2EBEF60D" w:rsidR="005E0DE7" w:rsidRPr="004B68A3" w:rsidRDefault="00574BF9" w:rsidP="00AF0643">
      <w:pPr>
        <w:pStyle w:val="02FlietextEinzug"/>
        <w:rPr>
          <w:lang w:val="en-US"/>
        </w:rPr>
      </w:pPr>
      <w:r>
        <w:rPr>
          <w:lang w:val="en-US"/>
        </w:rPr>
        <w:t xml:space="preserve">Findings from </w:t>
      </w:r>
      <w:del w:id="14" w:author="Philipp Alexander Linden" w:date="2020-06-25T13:57:00Z">
        <w:r w:rsidDel="00AF0643">
          <w:rPr>
            <w:lang w:val="en-US"/>
          </w:rPr>
          <w:delText>th</w:delText>
        </w:r>
        <w:r w:rsidR="009D562C" w:rsidDel="00AF0643">
          <w:rPr>
            <w:lang w:val="en-US"/>
          </w:rPr>
          <w:delText>e</w:delText>
        </w:r>
        <w:r w:rsidR="00AF0643" w:rsidDel="00AF0643">
          <w:rPr>
            <w:lang w:val="en-US"/>
          </w:rPr>
          <w:delText xml:space="preserve"> </w:delText>
        </w:r>
      </w:del>
      <w:r>
        <w:rPr>
          <w:lang w:val="en-US"/>
        </w:rPr>
        <w:t xml:space="preserve">8 </w:t>
      </w:r>
      <w:del w:id="15" w:author="Philipp Alexander Linden" w:date="2020-06-25T13:57:00Z">
        <w:r w:rsidDel="00AF0643">
          <w:rPr>
            <w:lang w:val="en-US"/>
          </w:rPr>
          <w:delText xml:space="preserve">in the </w:delText>
        </w:r>
      </w:del>
      <w:r>
        <w:rPr>
          <w:lang w:val="en-US"/>
        </w:rPr>
        <w:t xml:space="preserve">k-means </w:t>
      </w:r>
      <w:del w:id="16" w:author="Philipp Alexander Linden" w:date="2020-06-25T13:58:00Z">
        <w:r w:rsidR="009D562C" w:rsidDel="00AF0643">
          <w:rPr>
            <w:lang w:val="en-US"/>
          </w:rPr>
          <w:delText xml:space="preserve">cluster analysis </w:delText>
        </w:r>
      </w:del>
      <w:r w:rsidR="009D562C">
        <w:rPr>
          <w:lang w:val="en-US"/>
        </w:rPr>
        <w:t xml:space="preserve">and </w:t>
      </w:r>
      <w:del w:id="17" w:author="Philipp Alexander Linden" w:date="2020-06-25T13:58:00Z">
        <w:r w:rsidR="009D562C" w:rsidDel="00AF0643">
          <w:rPr>
            <w:lang w:val="en-US"/>
          </w:rPr>
          <w:delText xml:space="preserve">the </w:delText>
        </w:r>
      </w:del>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8B7E3E">
        <w:rPr>
          <w:lang w:val="en-US"/>
        </w:rPr>
        <w:t>cluster analysis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strict internal </w:t>
      </w:r>
      <w:proofErr w:type="spellStart"/>
      <w:r w:rsidR="00826A47">
        <w:rPr>
          <w:lang w:val="en-US"/>
        </w:rPr>
        <w:t>consitancy</w:t>
      </w:r>
      <w:proofErr w:type="spellEnd"/>
      <w:r w:rsidR="00826A47">
        <w:rPr>
          <w:lang w:val="en-US"/>
        </w:rPr>
        <w:t xml:space="preserve"> of countries in a cluster and one cluster solution which also integrates smaller ties in the cluster. We mapped the cluster solution by </w:t>
      </w:r>
      <w:proofErr w:type="gramStart"/>
      <w:r w:rsidR="00826A47">
        <w:rPr>
          <w:lang w:val="en-US"/>
        </w:rPr>
        <w:t xml:space="preserve">a </w:t>
      </w:r>
      <w:r w:rsidR="008B7E3E">
        <w:rPr>
          <w:lang w:val="en-US"/>
        </w:rPr>
        <w:t xml:space="preserve"> </w:t>
      </w:r>
      <w:r w:rsidR="00EF6744">
        <w:rPr>
          <w:lang w:val="en-US"/>
        </w:rPr>
        <w:t>network</w:t>
      </w:r>
      <w:proofErr w:type="gramEnd"/>
      <w:r w:rsidR="00EF6744">
        <w:rPr>
          <w:lang w:val="en-US"/>
        </w:rPr>
        <w:t xml:space="preserve">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p>
    <w:p w14:paraId="0CCAFD0B" w14:textId="44F4E25A" w:rsidR="00AD66E9" w:rsidRDefault="00AD66E9" w:rsidP="00EB31E0">
      <w:pPr>
        <w:pStyle w:val="berschrift1"/>
        <w:rPr>
          <w:lang w:val="en-US"/>
        </w:rPr>
      </w:pPr>
      <w:r w:rsidRPr="006A56FF">
        <w:rPr>
          <w:lang w:val="en-US"/>
        </w:rPr>
        <w:t>Results</w:t>
      </w:r>
      <w:r w:rsidR="0081256C" w:rsidRPr="006A56FF">
        <w:rPr>
          <w:lang w:val="en-US"/>
        </w:rPr>
        <w:t xml:space="preserve"> – 419 words</w:t>
      </w:r>
    </w:p>
    <w:p w14:paraId="56410A74" w14:textId="313A05ED" w:rsidR="00826A47" w:rsidRDefault="005F5909" w:rsidP="00B6557F">
      <w:pPr>
        <w:pStyle w:val="02Flietext"/>
        <w:spacing w:line="360" w:lineRule="auto"/>
        <w:rPr>
          <w:lang w:val="en-US"/>
        </w:rPr>
      </w:pPr>
      <w:r w:rsidRPr="00B6557F">
        <w:rPr>
          <w:lang w:val="en-US"/>
        </w:rPr>
        <w:t>Figure 1</w:t>
      </w:r>
      <w:r>
        <w:rPr>
          <w:lang w:val="en-US"/>
        </w:rPr>
        <w:t xml:space="preserve"> shows a graphical depiction of the clusters. It shows all ties larger or equal 50%.</w:t>
      </w:r>
      <w:r w:rsidR="009D1163">
        <w:rPr>
          <w:lang w:val="en-US"/>
        </w:rPr>
        <w:t xml:space="preserve"> The graph visualizes groups of countries and how likely it is that two countries belong to a similar type of LTC system. F</w:t>
      </w:r>
      <w:r w:rsidR="002C11D6">
        <w:rPr>
          <w:lang w:val="en-US"/>
        </w:rPr>
        <w:t>urthermore, the graph and</w:t>
      </w:r>
      <w:r w:rsidR="009D1163">
        <w:rPr>
          <w:lang w:val="en-US"/>
        </w:rPr>
        <w:t xml:space="preserve"> the information in table 3 show the internal consistency of LTC systems.</w:t>
      </w:r>
      <w:r w:rsidR="007377B2">
        <w:rPr>
          <w:lang w:val="en-US"/>
        </w:rPr>
        <w:t xml:space="preserve"> Based on a high internal consistency nine </w:t>
      </w:r>
      <w:r w:rsidR="007377B2">
        <w:rPr>
          <w:lang w:val="en-US"/>
        </w:rPr>
        <w:lastRenderedPageBreak/>
        <w:t>clusters can be divided of which two clusters incorporate only one country – Estonia and New Zealand – and three clusters only two countries – Germany and Finland, Japan and Korea, and Slovakia and Slovenia.</w:t>
      </w:r>
    </w:p>
    <w:p w14:paraId="1A022340" w14:textId="500510B1" w:rsidR="007377B2" w:rsidRDefault="00AE7ACF" w:rsidP="00B6557F">
      <w:pPr>
        <w:pStyle w:val="02Flietext"/>
        <w:numPr>
          <w:ilvl w:val="0"/>
          <w:numId w:val="14"/>
        </w:numPr>
        <w:spacing w:line="360" w:lineRule="auto"/>
        <w:rPr>
          <w:lang w:val="en-US"/>
        </w:rPr>
      </w:pPr>
      <w:r>
        <w:rPr>
          <w:lang w:val="en-US"/>
        </w:rPr>
        <w:t xml:space="preserve">The first cluster consist of </w:t>
      </w:r>
      <w:r w:rsidR="007377B2">
        <w:rPr>
          <w:lang w:val="en-US"/>
        </w:rPr>
        <w:t xml:space="preserve">Australia, Belgium, Luxemburg, Netherlands, </w:t>
      </w:r>
      <w:r>
        <w:rPr>
          <w:lang w:val="en-US"/>
        </w:rPr>
        <w:t xml:space="preserve">and </w:t>
      </w:r>
      <w:r w:rsidR="007377B2">
        <w:rPr>
          <w:lang w:val="en-US"/>
        </w:rPr>
        <w:t>Switzerland</w:t>
      </w:r>
      <w:r>
        <w:rPr>
          <w:lang w:val="en-US"/>
        </w:rPr>
        <w:t>. Each country shares strong ties to each other country in the cluster</w:t>
      </w:r>
    </w:p>
    <w:p w14:paraId="3E30E10F" w14:textId="37C76038" w:rsidR="00AF5658" w:rsidRDefault="00AF5658" w:rsidP="00AF5658">
      <w:pPr>
        <w:pStyle w:val="02Flietext"/>
        <w:numPr>
          <w:ilvl w:val="0"/>
          <w:numId w:val="14"/>
        </w:numPr>
        <w:spacing w:line="360" w:lineRule="auto"/>
        <w:rPr>
          <w:lang w:val="en-US"/>
        </w:rPr>
      </w:pPr>
      <w:r>
        <w:rPr>
          <w:lang w:val="en-US"/>
        </w:rPr>
        <w:t>France, Israel, Spain, the United Kingdom, and the United States constitute a second cluster, in which the tie between the US and France is the only weak one in the cluster.</w:t>
      </w:r>
    </w:p>
    <w:p w14:paraId="14007AC2" w14:textId="52649822" w:rsidR="007377B2" w:rsidRDefault="007377B2" w:rsidP="00B6557F">
      <w:pPr>
        <w:pStyle w:val="02Flietext"/>
        <w:numPr>
          <w:ilvl w:val="0"/>
          <w:numId w:val="14"/>
        </w:numPr>
        <w:spacing w:line="360" w:lineRule="auto"/>
        <w:rPr>
          <w:lang w:val="en-US"/>
        </w:rPr>
      </w:pPr>
      <w:r>
        <w:rPr>
          <w:lang w:val="en-US"/>
        </w:rPr>
        <w:t xml:space="preserve">Czech Republic, Latvia, </w:t>
      </w:r>
      <w:r w:rsidR="00AE7ACF">
        <w:rPr>
          <w:lang w:val="en-US"/>
        </w:rPr>
        <w:t xml:space="preserve">and </w:t>
      </w:r>
      <w:r>
        <w:rPr>
          <w:lang w:val="en-US"/>
        </w:rPr>
        <w:t>Poland</w:t>
      </w:r>
      <w:r w:rsidR="00AE7ACF">
        <w:rPr>
          <w:lang w:val="en-US"/>
        </w:rPr>
        <w:t xml:space="preserve"> form a distinct and highly consistent cluster, with all ties between these countries &gt; 90%. No other countries </w:t>
      </w:r>
      <w:proofErr w:type="gramStart"/>
      <w:r w:rsidR="00AE7ACF">
        <w:rPr>
          <w:lang w:val="en-US"/>
        </w:rPr>
        <w:t>has</w:t>
      </w:r>
      <w:proofErr w:type="gramEnd"/>
      <w:r w:rsidR="00AE7ACF">
        <w:rPr>
          <w:lang w:val="en-US"/>
        </w:rPr>
        <w:t xml:space="preserve"> a partial membership in this cluster. Slovenia has </w:t>
      </w:r>
      <w:r w:rsidR="00AF5658">
        <w:rPr>
          <w:lang w:val="en-US"/>
        </w:rPr>
        <w:t xml:space="preserve">strong ties to only two </w:t>
      </w:r>
      <w:proofErr w:type="spellStart"/>
      <w:r w:rsidR="00AF5658">
        <w:rPr>
          <w:lang w:val="en-US"/>
        </w:rPr>
        <w:t>countires</w:t>
      </w:r>
      <w:proofErr w:type="spellEnd"/>
      <w:r w:rsidR="00AF5658">
        <w:rPr>
          <w:lang w:val="en-US"/>
        </w:rPr>
        <w:t xml:space="preserve"> of this cluster – Belgium and Australia – which makes it at Partial member. Further partial members are Slovenia, France, Israel, and the United Kingdom.</w:t>
      </w:r>
    </w:p>
    <w:p w14:paraId="27249EAA" w14:textId="3EA2F820" w:rsidR="007377B2" w:rsidRDefault="007377B2" w:rsidP="00B6557F">
      <w:pPr>
        <w:pStyle w:val="02Flietext"/>
        <w:numPr>
          <w:ilvl w:val="0"/>
          <w:numId w:val="14"/>
        </w:numPr>
        <w:spacing w:line="360" w:lineRule="auto"/>
        <w:rPr>
          <w:lang w:val="en-US"/>
        </w:rPr>
      </w:pPr>
      <w:r>
        <w:rPr>
          <w:lang w:val="en-US"/>
        </w:rPr>
        <w:t>Denmark, Ireland, Norway,</w:t>
      </w:r>
      <w:r w:rsidR="00AE7ACF">
        <w:rPr>
          <w:lang w:val="en-US"/>
        </w:rPr>
        <w:t xml:space="preserve"> and</w:t>
      </w:r>
      <w:r>
        <w:rPr>
          <w:lang w:val="en-US"/>
        </w:rPr>
        <w:t xml:space="preserve"> Sweden</w:t>
      </w:r>
      <w:r w:rsidR="00AE7ACF">
        <w:rPr>
          <w:lang w:val="en-US"/>
        </w:rPr>
        <w:t xml:space="preserve"> show a high internal consistency. All countries can be found in the same cluster in all performed cluster analysis. Japan and Korea have a partial membership in this cluster</w:t>
      </w:r>
    </w:p>
    <w:p w14:paraId="40770EFE" w14:textId="4435C8CC" w:rsidR="007377B2" w:rsidRDefault="007377B2" w:rsidP="007377B2">
      <w:pPr>
        <w:pStyle w:val="02Flietext"/>
        <w:numPr>
          <w:ilvl w:val="0"/>
          <w:numId w:val="14"/>
        </w:numPr>
        <w:spacing w:line="360" w:lineRule="auto"/>
        <w:rPr>
          <w:lang w:val="en-US"/>
        </w:rPr>
      </w:pPr>
      <w:r>
        <w:rPr>
          <w:lang w:val="en-US"/>
        </w:rPr>
        <w:t>Finland, Germany</w:t>
      </w:r>
      <w:r w:rsidR="00C54555">
        <w:rPr>
          <w:lang w:val="en-US"/>
        </w:rPr>
        <w:t xml:space="preserve"> form a distinct cluster, ending up in the same cluster solution in 94%. They do not have partial membership in any other cluster.</w:t>
      </w:r>
    </w:p>
    <w:p w14:paraId="3286EDD5" w14:textId="633EF2AA" w:rsidR="007377B2" w:rsidRDefault="007377B2" w:rsidP="007377B2">
      <w:pPr>
        <w:pStyle w:val="02Flietext"/>
        <w:numPr>
          <w:ilvl w:val="0"/>
          <w:numId w:val="14"/>
        </w:numPr>
        <w:spacing w:line="360" w:lineRule="auto"/>
        <w:rPr>
          <w:lang w:val="en-US"/>
        </w:rPr>
      </w:pPr>
      <w:r>
        <w:rPr>
          <w:lang w:val="en-US"/>
        </w:rPr>
        <w:t>Japan and Korea</w:t>
      </w:r>
      <w:r w:rsidR="00C54555">
        <w:rPr>
          <w:lang w:val="en-US"/>
        </w:rPr>
        <w:t xml:space="preserve"> are </w:t>
      </w:r>
      <w:proofErr w:type="gramStart"/>
      <w:r w:rsidR="00C54555">
        <w:rPr>
          <w:lang w:val="en-US"/>
        </w:rPr>
        <w:t>closely linked</w:t>
      </w:r>
      <w:proofErr w:type="gramEnd"/>
      <w:r w:rsidR="00C54555">
        <w:rPr>
          <w:lang w:val="en-US"/>
        </w:rPr>
        <w:t xml:space="preserve"> in 94% of all cluster solutions and share a partial membership in the fourth cluster.</w:t>
      </w:r>
    </w:p>
    <w:p w14:paraId="0AABA9ED" w14:textId="08C8E8F6" w:rsidR="007377B2" w:rsidRDefault="007377B2" w:rsidP="007377B2">
      <w:pPr>
        <w:pStyle w:val="02Flietext"/>
        <w:numPr>
          <w:ilvl w:val="0"/>
          <w:numId w:val="14"/>
        </w:numPr>
        <w:spacing w:line="360" w:lineRule="auto"/>
        <w:rPr>
          <w:lang w:val="en-US"/>
        </w:rPr>
      </w:pPr>
      <w:r>
        <w:rPr>
          <w:lang w:val="en-US"/>
        </w:rPr>
        <w:t>Slovenia and Slovakia</w:t>
      </w:r>
      <w:r w:rsidR="00C54555">
        <w:rPr>
          <w:lang w:val="en-US"/>
        </w:rPr>
        <w:t xml:space="preserve"> have a strong tie, yet less strong than the other clusters of two by 72%. The countries have a partial membership in the first but also the second cluster.</w:t>
      </w:r>
    </w:p>
    <w:p w14:paraId="30C618A0" w14:textId="41328757" w:rsidR="007377B2" w:rsidRPr="00B6557F" w:rsidRDefault="007377B2" w:rsidP="00B6557F">
      <w:pPr>
        <w:pStyle w:val="02Flietext"/>
        <w:numPr>
          <w:ilvl w:val="0"/>
          <w:numId w:val="14"/>
        </w:numPr>
        <w:spacing w:line="360" w:lineRule="auto"/>
        <w:rPr>
          <w:lang w:val="en-US"/>
        </w:rPr>
      </w:pPr>
      <w:r w:rsidRPr="00C54555">
        <w:rPr>
          <w:lang w:val="en-US"/>
        </w:rPr>
        <w:t>Estonia</w:t>
      </w:r>
      <w:r w:rsidR="00C54555">
        <w:rPr>
          <w:lang w:val="en-US"/>
        </w:rPr>
        <w:t xml:space="preserve"> and 9) </w:t>
      </w:r>
      <w:r w:rsidRPr="00C54555">
        <w:rPr>
          <w:lang w:val="en-US"/>
        </w:rPr>
        <w:t>New Zealand</w:t>
      </w:r>
      <w:r w:rsidR="00C54555">
        <w:rPr>
          <w:lang w:val="en-US"/>
        </w:rPr>
        <w:t xml:space="preserve"> are sole clusters. Estonia ends up with France and the US in 66% of all cases and is hence a partial cluster member of cluster four. Also New Zealand has two three weak ties to cluster four and is hence considered a partial member.</w:t>
      </w:r>
    </w:p>
    <w:p w14:paraId="6C33A93F" w14:textId="04F84365"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0D28ED9F" w14:textId="77777777" w:rsidR="002E6277" w:rsidRDefault="002E6277" w:rsidP="00440583">
      <w:pPr>
        <w:pStyle w:val="02Flietext"/>
        <w:jc w:val="center"/>
        <w:rPr>
          <w:highlight w:val="yellow"/>
          <w:lang w:val="en-US"/>
        </w:rPr>
      </w:pPr>
    </w:p>
    <w:p w14:paraId="009FB497" w14:textId="0059B95E" w:rsidR="00E028AA" w:rsidRPr="00E028AA" w:rsidRDefault="00E028AA" w:rsidP="00440583">
      <w:pPr>
        <w:pStyle w:val="02Flietext"/>
        <w:jc w:val="center"/>
        <w:rPr>
          <w:lang w:val="en-US"/>
        </w:rPr>
      </w:pPr>
      <w:r w:rsidRPr="00E028AA">
        <w:rPr>
          <w:highlight w:val="yellow"/>
          <w:lang w:val="en-US"/>
        </w:rPr>
        <w:lastRenderedPageBreak/>
        <w:t xml:space="preserve">--- TABLE </w:t>
      </w:r>
      <w:r>
        <w:rPr>
          <w:highlight w:val="yellow"/>
          <w:lang w:val="en-US"/>
        </w:rPr>
        <w:t>3</w:t>
      </w:r>
      <w:r w:rsidRPr="00E028AA">
        <w:rPr>
          <w:highlight w:val="yellow"/>
          <w:lang w:val="en-US"/>
        </w:rPr>
        <w:t xml:space="preserve"> ABOUT HERE ---</w:t>
      </w:r>
    </w:p>
    <w:p w14:paraId="2A9E71C7" w14:textId="7A469254" w:rsidR="00832038" w:rsidRPr="006A56FF" w:rsidRDefault="00832038" w:rsidP="00832038">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BD5458">
        <w:rPr>
          <w:noProof/>
          <w:sz w:val="22"/>
          <w:szCs w:val="22"/>
          <w:lang w:val="en-US"/>
        </w:rPr>
        <w:t>2</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(N=</w:t>
      </w:r>
      <w:r w:rsidR="00F51649">
        <w:rPr>
          <w:sz w:val="22"/>
          <w:szCs w:val="22"/>
          <w:lang w:val="en-US"/>
        </w:rPr>
        <w:t>4</w:t>
      </w:r>
      <w:r>
        <w:rPr>
          <w:sz w:val="22"/>
          <w:szCs w:val="22"/>
          <w:lang w:val="en-US"/>
        </w:rPr>
        <w:t xml:space="preserve">) </w:t>
      </w:r>
      <w:commentRangeStart w:id="18"/>
      <w:r w:rsidRPr="006A56FF">
        <w:rPr>
          <w:sz w:val="22"/>
          <w:szCs w:val="22"/>
          <w:lang w:val="en-US"/>
        </w:rPr>
        <w:t>clusters</w:t>
      </w:r>
      <w:commentRangeEnd w:id="18"/>
      <w:r>
        <w:rPr>
          <w:rStyle w:val="Kommentarzeichen"/>
          <w:color w:val="000000"/>
        </w:rPr>
        <w:commentReference w:id="18"/>
      </w:r>
      <w:r w:rsidR="00F51649">
        <w:rPr>
          <w:sz w:val="22"/>
          <w:szCs w:val="22"/>
          <w:lang w:val="en-US"/>
        </w:rPr>
        <w:t xml:space="preserve"> with </w:t>
      </w:r>
      <w:r w:rsidR="003B101F">
        <w:rPr>
          <w:sz w:val="22"/>
          <w:szCs w:val="22"/>
          <w:lang w:val="en-US"/>
        </w:rPr>
        <w:t xml:space="preserve">(N=4) </w:t>
      </w:r>
      <w:r w:rsidR="00F51649">
        <w:rPr>
          <w:sz w:val="22"/>
          <w:szCs w:val="22"/>
          <w:lang w:val="en-US"/>
        </w:rPr>
        <w:t>subclusters</w:t>
      </w:r>
    </w:p>
    <w:tbl>
      <w:tblPr>
        <w:tblStyle w:val="EinfacheTabelle3"/>
        <w:tblW w:w="8364" w:type="dxa"/>
        <w:shd w:val="clear" w:color="auto" w:fill="FFFFFF" w:themeFill="background1"/>
        <w:tblLayout w:type="fixed"/>
        <w:tblLook w:val="04A0" w:firstRow="1" w:lastRow="0" w:firstColumn="1" w:lastColumn="0" w:noHBand="0" w:noVBand="1"/>
      </w:tblPr>
      <w:tblGrid>
        <w:gridCol w:w="1276"/>
        <w:gridCol w:w="709"/>
        <w:gridCol w:w="709"/>
        <w:gridCol w:w="850"/>
        <w:gridCol w:w="851"/>
        <w:gridCol w:w="708"/>
        <w:gridCol w:w="1276"/>
        <w:gridCol w:w="992"/>
        <w:gridCol w:w="993"/>
      </w:tblGrid>
      <w:tr w:rsidR="00832038" w:rsidRPr="006A56FF" w14:paraId="3079D211" w14:textId="77777777" w:rsidTr="00D55E9E">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tcBorders>
            <w:shd w:val="clear" w:color="auto" w:fill="FFFFFF" w:themeFill="background1"/>
            <w:vAlign w:val="center"/>
          </w:tcPr>
          <w:p w14:paraId="1B7FB05E" w14:textId="77777777" w:rsidR="00832038" w:rsidRPr="00D67B4C" w:rsidRDefault="00832038" w:rsidP="00832038">
            <w:pPr>
              <w:spacing w:line="276" w:lineRule="auto"/>
              <w:rPr>
                <w:b w:val="0"/>
                <w:bCs w:val="0"/>
                <w:caps w:val="0"/>
                <w:sz w:val="16"/>
                <w:szCs w:val="16"/>
                <w:lang w:val="en-US"/>
              </w:rPr>
            </w:pPr>
            <w:bookmarkStart w:id="19" w:name="_Hlk44080107"/>
          </w:p>
        </w:tc>
        <w:tc>
          <w:tcPr>
            <w:tcW w:w="709" w:type="dxa"/>
            <w:tcBorders>
              <w:top w:val="single" w:sz="12" w:space="0" w:color="auto"/>
              <w:bottom w:val="single" w:sz="4" w:space="0" w:color="auto"/>
            </w:tcBorders>
            <w:shd w:val="clear" w:color="auto" w:fill="FFFFFF" w:themeFill="background1"/>
            <w:vAlign w:val="center"/>
          </w:tcPr>
          <w:p w14:paraId="0C9DCE28" w14:textId="77777777" w:rsidR="00832038" w:rsidRPr="00D67B4C" w:rsidRDefault="00832038"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9" w:type="dxa"/>
            <w:tcBorders>
              <w:top w:val="single" w:sz="12" w:space="0" w:color="auto"/>
              <w:bottom w:val="single" w:sz="4" w:space="0" w:color="auto"/>
            </w:tcBorders>
            <w:shd w:val="clear" w:color="auto" w:fill="FFFFFF" w:themeFill="background1"/>
            <w:vAlign w:val="center"/>
          </w:tcPr>
          <w:p w14:paraId="1CFA9D5D" w14:textId="77777777" w:rsidR="00832038" w:rsidRPr="00D67B4C" w:rsidRDefault="00832038"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0" w:type="dxa"/>
            <w:tcBorders>
              <w:top w:val="single" w:sz="12" w:space="0" w:color="auto"/>
              <w:bottom w:val="single" w:sz="4" w:space="0" w:color="auto"/>
            </w:tcBorders>
            <w:shd w:val="clear" w:color="auto" w:fill="FFFFFF" w:themeFill="background1"/>
            <w:vAlign w:val="center"/>
          </w:tcPr>
          <w:p w14:paraId="5573C18A" w14:textId="77777777" w:rsidR="00832038" w:rsidRPr="00D67B4C" w:rsidRDefault="00832038"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851" w:type="dxa"/>
            <w:tcBorders>
              <w:top w:val="single" w:sz="12" w:space="0" w:color="auto"/>
              <w:bottom w:val="single" w:sz="4" w:space="0" w:color="auto"/>
            </w:tcBorders>
            <w:shd w:val="clear" w:color="auto" w:fill="FFFFFF" w:themeFill="background1"/>
            <w:vAlign w:val="center"/>
          </w:tcPr>
          <w:p w14:paraId="54D4B348" w14:textId="2C87C965" w:rsidR="00832038" w:rsidRPr="00D67B4C" w:rsidRDefault="00F51649"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3a</w:t>
            </w:r>
          </w:p>
        </w:tc>
        <w:tc>
          <w:tcPr>
            <w:tcW w:w="708" w:type="dxa"/>
            <w:tcBorders>
              <w:top w:val="single" w:sz="12" w:space="0" w:color="auto"/>
              <w:bottom w:val="single" w:sz="4" w:space="0" w:color="auto"/>
            </w:tcBorders>
            <w:shd w:val="clear" w:color="auto" w:fill="FFFFFF" w:themeFill="background1"/>
            <w:vAlign w:val="center"/>
          </w:tcPr>
          <w:p w14:paraId="7EEEBD6D" w14:textId="7139DCFE" w:rsidR="00832038" w:rsidRPr="00D67B4C" w:rsidRDefault="00F51649"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3b</w:t>
            </w:r>
          </w:p>
        </w:tc>
        <w:tc>
          <w:tcPr>
            <w:tcW w:w="1276" w:type="dxa"/>
            <w:tcBorders>
              <w:top w:val="single" w:sz="12" w:space="0" w:color="auto"/>
              <w:bottom w:val="single" w:sz="4" w:space="0" w:color="auto"/>
            </w:tcBorders>
            <w:shd w:val="clear" w:color="auto" w:fill="FFFFFF" w:themeFill="background1"/>
            <w:vAlign w:val="center"/>
          </w:tcPr>
          <w:p w14:paraId="27E5EA7F" w14:textId="4E763913" w:rsidR="00832038" w:rsidRPr="00D67B4C" w:rsidRDefault="00F51649" w:rsidP="00832038">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w:t>
            </w:r>
          </w:p>
        </w:tc>
        <w:tc>
          <w:tcPr>
            <w:tcW w:w="992" w:type="dxa"/>
            <w:tcBorders>
              <w:top w:val="single" w:sz="12" w:space="0" w:color="auto"/>
              <w:bottom w:val="single" w:sz="4" w:space="0" w:color="auto"/>
            </w:tcBorders>
            <w:shd w:val="clear" w:color="auto" w:fill="FFFFFF" w:themeFill="background1"/>
            <w:vAlign w:val="center"/>
          </w:tcPr>
          <w:p w14:paraId="3A61D331" w14:textId="3ADA358C" w:rsidR="00832038" w:rsidRPr="00D67B4C" w:rsidRDefault="00F51649" w:rsidP="0083203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4a</w:t>
            </w:r>
          </w:p>
        </w:tc>
        <w:tc>
          <w:tcPr>
            <w:tcW w:w="993" w:type="dxa"/>
            <w:tcBorders>
              <w:top w:val="single" w:sz="12" w:space="0" w:color="auto"/>
              <w:bottom w:val="single" w:sz="4" w:space="0" w:color="auto"/>
            </w:tcBorders>
            <w:shd w:val="clear" w:color="auto" w:fill="FFFFFF" w:themeFill="background1"/>
            <w:vAlign w:val="center"/>
          </w:tcPr>
          <w:p w14:paraId="55EFDC76" w14:textId="176EF218" w:rsidR="00832038" w:rsidRPr="00D67B4C" w:rsidRDefault="00F51649" w:rsidP="0083203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4b</w:t>
            </w:r>
          </w:p>
        </w:tc>
      </w:tr>
      <w:tr w:rsidR="00832038" w:rsidRPr="006A56FF" w14:paraId="48696C56"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C7C9125" w14:textId="77777777" w:rsidR="00832038" w:rsidRPr="00D67B4C" w:rsidRDefault="00832038" w:rsidP="00832038">
            <w:pPr>
              <w:spacing w:line="276" w:lineRule="auto"/>
              <w:rPr>
                <w:b w:val="0"/>
                <w:bCs w:val="0"/>
                <w:caps w:val="0"/>
                <w:sz w:val="16"/>
                <w:szCs w:val="16"/>
                <w:lang w:val="en-US"/>
              </w:rPr>
            </w:pPr>
            <w:r w:rsidRPr="00D67B4C">
              <w:rPr>
                <w:b w:val="0"/>
                <w:bCs w:val="0"/>
                <w:caps w:val="0"/>
                <w:sz w:val="16"/>
                <w:szCs w:val="16"/>
                <w:lang w:val="en-US"/>
              </w:rPr>
              <w:t>Cluster composition</w:t>
            </w:r>
          </w:p>
        </w:tc>
        <w:tc>
          <w:tcPr>
            <w:tcW w:w="709" w:type="dxa"/>
            <w:tcBorders>
              <w:top w:val="single" w:sz="4" w:space="0" w:color="auto"/>
              <w:bottom w:val="single" w:sz="4" w:space="0" w:color="auto"/>
            </w:tcBorders>
            <w:shd w:val="clear" w:color="auto" w:fill="FFFFFF" w:themeFill="background1"/>
            <w:vAlign w:val="center"/>
          </w:tcPr>
          <w:p w14:paraId="61D91068" w14:textId="3CCC62A7" w:rsidR="00832038" w:rsidRPr="00D67B4C" w:rsidRDefault="00832038" w:rsidP="00832038">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709" w:type="dxa"/>
            <w:tcBorders>
              <w:top w:val="single" w:sz="4" w:space="0" w:color="auto"/>
              <w:bottom w:val="single" w:sz="4" w:space="0" w:color="auto"/>
            </w:tcBorders>
            <w:shd w:val="clear" w:color="auto" w:fill="FFFFFF" w:themeFill="background1"/>
            <w:vAlign w:val="center"/>
          </w:tcPr>
          <w:p w14:paraId="5F57490F" w14:textId="66694601" w:rsidR="00832038" w:rsidRPr="00D67B4C" w:rsidRDefault="00832038" w:rsidP="00832038">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850" w:type="dxa"/>
            <w:tcBorders>
              <w:top w:val="single" w:sz="4" w:space="0" w:color="auto"/>
              <w:bottom w:val="single" w:sz="4" w:space="0" w:color="auto"/>
            </w:tcBorders>
            <w:shd w:val="clear" w:color="auto" w:fill="FFFFFF" w:themeFill="background1"/>
            <w:vAlign w:val="center"/>
          </w:tcPr>
          <w:p w14:paraId="329AB824" w14:textId="6A4110EE" w:rsidR="00832038" w:rsidRPr="00D67B4C" w:rsidRDefault="00832038" w:rsidP="00832038">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1" w:type="dxa"/>
            <w:tcBorders>
              <w:top w:val="single" w:sz="4" w:space="0" w:color="auto"/>
              <w:bottom w:val="single" w:sz="4" w:space="0" w:color="auto"/>
            </w:tcBorders>
            <w:shd w:val="clear" w:color="auto" w:fill="FFFFFF" w:themeFill="background1"/>
            <w:vAlign w:val="center"/>
          </w:tcPr>
          <w:p w14:paraId="749701EF" w14:textId="18673C32" w:rsidR="00832038" w:rsidRPr="00D67B4C" w:rsidRDefault="00832038" w:rsidP="00832038">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8" w:type="dxa"/>
            <w:tcBorders>
              <w:top w:val="single" w:sz="4" w:space="0" w:color="auto"/>
              <w:bottom w:val="single" w:sz="4" w:space="0" w:color="auto"/>
            </w:tcBorders>
            <w:shd w:val="clear" w:color="auto" w:fill="FFFFFF" w:themeFill="background1"/>
            <w:vAlign w:val="center"/>
          </w:tcPr>
          <w:p w14:paraId="60322B41" w14:textId="4172FA88" w:rsidR="00832038" w:rsidRPr="00D67B4C" w:rsidRDefault="002A4D2C" w:rsidP="00832038">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276" w:type="dxa"/>
            <w:tcBorders>
              <w:top w:val="single" w:sz="4" w:space="0" w:color="auto"/>
              <w:bottom w:val="single" w:sz="4" w:space="0" w:color="auto"/>
            </w:tcBorders>
            <w:shd w:val="clear" w:color="auto" w:fill="FFFFFF" w:themeFill="background1"/>
            <w:vAlign w:val="center"/>
          </w:tcPr>
          <w:p w14:paraId="7FB23925" w14:textId="27999549" w:rsidR="00832038" w:rsidRPr="00832038" w:rsidRDefault="00832038" w:rsidP="00832038">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992" w:type="dxa"/>
            <w:tcBorders>
              <w:top w:val="single" w:sz="4" w:space="0" w:color="auto"/>
              <w:bottom w:val="single" w:sz="4" w:space="0" w:color="auto"/>
            </w:tcBorders>
            <w:shd w:val="clear" w:color="auto" w:fill="FFFFFF" w:themeFill="background1"/>
            <w:vAlign w:val="center"/>
          </w:tcPr>
          <w:p w14:paraId="73474D27" w14:textId="3C48458A" w:rsidR="00832038" w:rsidRPr="00832038" w:rsidRDefault="00832038" w:rsidP="00832038">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993" w:type="dxa"/>
            <w:tcBorders>
              <w:top w:val="single" w:sz="4" w:space="0" w:color="auto"/>
              <w:bottom w:val="single" w:sz="4" w:space="0" w:color="auto"/>
            </w:tcBorders>
            <w:shd w:val="clear" w:color="auto" w:fill="FFFFFF" w:themeFill="background1"/>
            <w:vAlign w:val="center"/>
          </w:tcPr>
          <w:p w14:paraId="1167D62B" w14:textId="21A7E8F9" w:rsidR="00832038" w:rsidRPr="00832038" w:rsidRDefault="00832038" w:rsidP="00832038">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EE, ES, FR, </w:t>
            </w:r>
            <w:proofErr w:type="gramStart"/>
            <w:r w:rsidRPr="00832038">
              <w:rPr>
                <w:sz w:val="16"/>
                <w:szCs w:val="16"/>
              </w:rPr>
              <w:t>IL,NZ</w:t>
            </w:r>
            <w:proofErr w:type="gramEnd"/>
            <w:r w:rsidRPr="00832038">
              <w:rPr>
                <w:sz w:val="16"/>
                <w:szCs w:val="16"/>
              </w:rPr>
              <w:t xml:space="preserve">, UK, US </w:t>
            </w:r>
          </w:p>
        </w:tc>
      </w:tr>
      <w:tr w:rsidR="00832038" w:rsidRPr="006A56FF" w14:paraId="53B5A220" w14:textId="77777777" w:rsidTr="00D55E9E">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0F6E0154" w14:textId="77777777" w:rsidR="00832038" w:rsidRPr="00D67B4C" w:rsidRDefault="00832038" w:rsidP="00832038">
            <w:pPr>
              <w:spacing w:line="276" w:lineRule="auto"/>
              <w:rPr>
                <w:b w:val="0"/>
                <w:bCs w:val="0"/>
                <w:caps w:val="0"/>
                <w:sz w:val="16"/>
                <w:szCs w:val="16"/>
                <w:lang w:val="en-US"/>
              </w:rPr>
            </w:pPr>
            <w:r w:rsidRPr="00D67B4C">
              <w:rPr>
                <w:b w:val="0"/>
                <w:bCs w:val="0"/>
                <w:caps w:val="0"/>
                <w:sz w:val="16"/>
                <w:szCs w:val="16"/>
                <w:lang w:val="en-US"/>
              </w:rPr>
              <w:t>Cluster Size</w:t>
            </w:r>
          </w:p>
        </w:tc>
        <w:tc>
          <w:tcPr>
            <w:tcW w:w="709" w:type="dxa"/>
            <w:tcBorders>
              <w:top w:val="single" w:sz="4" w:space="0" w:color="auto"/>
              <w:bottom w:val="single" w:sz="4" w:space="0" w:color="auto"/>
            </w:tcBorders>
            <w:shd w:val="clear" w:color="auto" w:fill="FFFFFF" w:themeFill="background1"/>
            <w:vAlign w:val="center"/>
          </w:tcPr>
          <w:p w14:paraId="0A359E14" w14:textId="176787AB"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tcBorders>
              <w:top w:val="single" w:sz="4" w:space="0" w:color="auto"/>
              <w:bottom w:val="single" w:sz="4" w:space="0" w:color="auto"/>
            </w:tcBorders>
            <w:shd w:val="clear" w:color="auto" w:fill="FFFFFF" w:themeFill="background1"/>
            <w:vAlign w:val="center"/>
          </w:tcPr>
          <w:p w14:paraId="45FE1F56" w14:textId="2FEB8A0A"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850" w:type="dxa"/>
            <w:tcBorders>
              <w:top w:val="single" w:sz="4" w:space="0" w:color="auto"/>
              <w:bottom w:val="single" w:sz="4" w:space="0" w:color="auto"/>
            </w:tcBorders>
            <w:shd w:val="clear" w:color="auto" w:fill="FFFFFF" w:themeFill="background1"/>
            <w:vAlign w:val="center"/>
          </w:tcPr>
          <w:p w14:paraId="4104F751" w14:textId="0B28E4F6"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1" w:type="dxa"/>
            <w:tcBorders>
              <w:top w:val="single" w:sz="4" w:space="0" w:color="auto"/>
              <w:bottom w:val="single" w:sz="4" w:space="0" w:color="auto"/>
            </w:tcBorders>
            <w:shd w:val="clear" w:color="auto" w:fill="FFFFFF" w:themeFill="background1"/>
            <w:vAlign w:val="center"/>
          </w:tcPr>
          <w:p w14:paraId="7690A66E" w14:textId="668A8950"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8" w:type="dxa"/>
            <w:tcBorders>
              <w:top w:val="single" w:sz="4" w:space="0" w:color="auto"/>
              <w:bottom w:val="single" w:sz="4" w:space="0" w:color="auto"/>
            </w:tcBorders>
            <w:shd w:val="clear" w:color="auto" w:fill="FFFFFF" w:themeFill="background1"/>
            <w:vAlign w:val="center"/>
          </w:tcPr>
          <w:p w14:paraId="264DB928" w14:textId="77777777" w:rsidR="00832038" w:rsidRPr="00D67B4C" w:rsidRDefault="00832038"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276" w:type="dxa"/>
            <w:tcBorders>
              <w:top w:val="single" w:sz="4" w:space="0" w:color="auto"/>
              <w:bottom w:val="single" w:sz="4" w:space="0" w:color="auto"/>
            </w:tcBorders>
            <w:shd w:val="clear" w:color="auto" w:fill="FFFFFF" w:themeFill="background1"/>
            <w:vAlign w:val="center"/>
          </w:tcPr>
          <w:p w14:paraId="0EC4FC4A" w14:textId="573BE448"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992" w:type="dxa"/>
            <w:tcBorders>
              <w:top w:val="single" w:sz="4" w:space="0" w:color="auto"/>
              <w:bottom w:val="single" w:sz="4" w:space="0" w:color="auto"/>
            </w:tcBorders>
            <w:shd w:val="clear" w:color="auto" w:fill="FFFFFF" w:themeFill="background1"/>
            <w:vAlign w:val="center"/>
          </w:tcPr>
          <w:p w14:paraId="360F64AC" w14:textId="470A5B29"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993" w:type="dxa"/>
            <w:tcBorders>
              <w:top w:val="single" w:sz="4" w:space="0" w:color="auto"/>
              <w:bottom w:val="single" w:sz="4" w:space="0" w:color="auto"/>
            </w:tcBorders>
            <w:shd w:val="clear" w:color="auto" w:fill="FFFFFF" w:themeFill="background1"/>
            <w:vAlign w:val="center"/>
          </w:tcPr>
          <w:p w14:paraId="0795E065" w14:textId="1558885C" w:rsidR="00832038" w:rsidRPr="00D67B4C" w:rsidRDefault="00FC18FA" w:rsidP="00832038">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FC18FA" w:rsidRPr="006A56FF" w14:paraId="14BC6BAA"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7A198348" w14:textId="597B9653"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EXPND</w:t>
            </w:r>
          </w:p>
        </w:tc>
        <w:tc>
          <w:tcPr>
            <w:tcW w:w="709" w:type="dxa"/>
            <w:tcBorders>
              <w:top w:val="single" w:sz="4" w:space="0" w:color="auto"/>
            </w:tcBorders>
            <w:shd w:val="clear" w:color="auto" w:fill="FFFFFF" w:themeFill="background1"/>
            <w:vAlign w:val="center"/>
          </w:tcPr>
          <w:p w14:paraId="3FCE634F" w14:textId="3A6A89FB" w:rsidR="00FC18FA" w:rsidRPr="00FC18FA"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709" w:type="dxa"/>
            <w:tcBorders>
              <w:top w:val="single" w:sz="4" w:space="0" w:color="auto"/>
            </w:tcBorders>
            <w:shd w:val="clear" w:color="auto" w:fill="FFFFFF" w:themeFill="background1"/>
            <w:vAlign w:val="center"/>
          </w:tcPr>
          <w:p w14:paraId="6BC494CE" w14:textId="0067A340"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850" w:type="dxa"/>
            <w:tcBorders>
              <w:top w:val="single" w:sz="4" w:space="0" w:color="auto"/>
            </w:tcBorders>
            <w:shd w:val="clear" w:color="auto" w:fill="FFFFFF" w:themeFill="background1"/>
            <w:vAlign w:val="center"/>
          </w:tcPr>
          <w:p w14:paraId="6F8D8B22" w14:textId="4D34D70F"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1" w:type="dxa"/>
            <w:tcBorders>
              <w:top w:val="single" w:sz="4" w:space="0" w:color="auto"/>
            </w:tcBorders>
            <w:shd w:val="clear" w:color="auto" w:fill="FFFFFF" w:themeFill="background1"/>
            <w:vAlign w:val="center"/>
          </w:tcPr>
          <w:p w14:paraId="241F9190" w14:textId="2CB51751"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8" w:type="dxa"/>
            <w:tcBorders>
              <w:top w:val="single" w:sz="4" w:space="0" w:color="auto"/>
            </w:tcBorders>
            <w:shd w:val="clear" w:color="auto" w:fill="FFFFFF" w:themeFill="background1"/>
            <w:vAlign w:val="center"/>
          </w:tcPr>
          <w:p w14:paraId="6A1FFEAD" w14:textId="5EBC6734"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276" w:type="dxa"/>
            <w:tcBorders>
              <w:top w:val="single" w:sz="4" w:space="0" w:color="auto"/>
            </w:tcBorders>
            <w:shd w:val="clear" w:color="auto" w:fill="FFFFFF" w:themeFill="background1"/>
            <w:vAlign w:val="center"/>
          </w:tcPr>
          <w:p w14:paraId="687A29FB" w14:textId="4113DDA9"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992" w:type="dxa"/>
            <w:tcBorders>
              <w:top w:val="single" w:sz="4" w:space="0" w:color="auto"/>
            </w:tcBorders>
            <w:shd w:val="clear" w:color="auto" w:fill="FFFFFF" w:themeFill="background1"/>
            <w:vAlign w:val="center"/>
          </w:tcPr>
          <w:p w14:paraId="31A97B0B" w14:textId="4EC06D39"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993" w:type="dxa"/>
            <w:tcBorders>
              <w:top w:val="single" w:sz="4" w:space="0" w:color="auto"/>
            </w:tcBorders>
            <w:shd w:val="clear" w:color="auto" w:fill="FFFFFF" w:themeFill="background1"/>
            <w:vAlign w:val="center"/>
          </w:tcPr>
          <w:p w14:paraId="4DE22E4F" w14:textId="393237A7"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FC18FA" w:rsidRPr="006A56FF" w14:paraId="3354E970" w14:textId="77777777" w:rsidTr="00D55E9E">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B7B2483" w14:textId="220CDE43" w:rsidR="00FC18FA" w:rsidRPr="00D67B4C" w:rsidRDefault="00FC18FA" w:rsidP="00FC18FA">
            <w:pPr>
              <w:spacing w:line="276" w:lineRule="auto"/>
              <w:rPr>
                <w:b w:val="0"/>
                <w:bCs w:val="0"/>
                <w:caps w:val="0"/>
                <w:sz w:val="16"/>
                <w:szCs w:val="16"/>
                <w:lang w:val="en-US"/>
              </w:rPr>
            </w:pPr>
            <w:r>
              <w:rPr>
                <w:b w:val="0"/>
                <w:bCs w:val="0"/>
                <w:caps w:val="0"/>
                <w:sz w:val="16"/>
                <w:szCs w:val="16"/>
                <w:lang w:val="en-US"/>
              </w:rPr>
              <w:t>BEDS</w:t>
            </w:r>
          </w:p>
        </w:tc>
        <w:tc>
          <w:tcPr>
            <w:tcW w:w="709" w:type="dxa"/>
            <w:shd w:val="clear" w:color="auto" w:fill="FFFFFF" w:themeFill="background1"/>
            <w:vAlign w:val="center"/>
          </w:tcPr>
          <w:p w14:paraId="5E348191" w14:textId="51429572"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709" w:type="dxa"/>
            <w:shd w:val="clear" w:color="auto" w:fill="FFFFFF" w:themeFill="background1"/>
            <w:vAlign w:val="center"/>
          </w:tcPr>
          <w:p w14:paraId="1F5B788F" w14:textId="45DD5CA2"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850" w:type="dxa"/>
            <w:shd w:val="clear" w:color="auto" w:fill="FFFFFF" w:themeFill="background1"/>
            <w:vAlign w:val="center"/>
          </w:tcPr>
          <w:p w14:paraId="132CDA79" w14:textId="7BA5CE48"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1" w:type="dxa"/>
            <w:shd w:val="clear" w:color="auto" w:fill="FFFFFF" w:themeFill="background1"/>
            <w:vAlign w:val="center"/>
          </w:tcPr>
          <w:p w14:paraId="3AC6033D" w14:textId="070BD227"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8" w:type="dxa"/>
            <w:shd w:val="clear" w:color="auto" w:fill="FFFFFF" w:themeFill="background1"/>
            <w:vAlign w:val="center"/>
          </w:tcPr>
          <w:p w14:paraId="5977063D" w14:textId="50950E51"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276" w:type="dxa"/>
            <w:shd w:val="clear" w:color="auto" w:fill="FFFFFF" w:themeFill="background1"/>
            <w:vAlign w:val="center"/>
          </w:tcPr>
          <w:p w14:paraId="46372C26" w14:textId="22A2D908"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992" w:type="dxa"/>
            <w:shd w:val="clear" w:color="auto" w:fill="FFFFFF" w:themeFill="background1"/>
            <w:vAlign w:val="center"/>
          </w:tcPr>
          <w:p w14:paraId="4DA58D6A" w14:textId="65F84C40"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993" w:type="dxa"/>
            <w:shd w:val="clear" w:color="auto" w:fill="FFFFFF" w:themeFill="background1"/>
            <w:vAlign w:val="center"/>
          </w:tcPr>
          <w:p w14:paraId="632EECA7" w14:textId="7E59771B"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FC18FA" w:rsidRPr="006A56FF" w14:paraId="6B17DE3E"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B8C36D1" w14:textId="31B38CA2"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709" w:type="dxa"/>
            <w:shd w:val="clear" w:color="auto" w:fill="FFFFFF" w:themeFill="background1"/>
            <w:vAlign w:val="center"/>
          </w:tcPr>
          <w:p w14:paraId="2D1FD48E" w14:textId="43EFB87F"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709" w:type="dxa"/>
            <w:shd w:val="clear" w:color="auto" w:fill="FFFFFF" w:themeFill="background1"/>
            <w:vAlign w:val="center"/>
          </w:tcPr>
          <w:p w14:paraId="392A2341" w14:textId="44603C79"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850" w:type="dxa"/>
            <w:shd w:val="clear" w:color="auto" w:fill="FFFFFF" w:themeFill="background1"/>
            <w:vAlign w:val="center"/>
          </w:tcPr>
          <w:p w14:paraId="20973C06" w14:textId="238B0BB7"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1" w:type="dxa"/>
            <w:shd w:val="clear" w:color="auto" w:fill="FFFFFF" w:themeFill="background1"/>
            <w:vAlign w:val="center"/>
          </w:tcPr>
          <w:p w14:paraId="64E669A0" w14:textId="14D0321C"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8" w:type="dxa"/>
            <w:shd w:val="clear" w:color="auto" w:fill="FFFFFF" w:themeFill="background1"/>
            <w:vAlign w:val="center"/>
          </w:tcPr>
          <w:p w14:paraId="766F08D9" w14:textId="1E401C6D"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276" w:type="dxa"/>
            <w:shd w:val="clear" w:color="auto" w:fill="FFFFFF" w:themeFill="background1"/>
            <w:vAlign w:val="center"/>
          </w:tcPr>
          <w:p w14:paraId="1CB351FD" w14:textId="009189A5"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992" w:type="dxa"/>
            <w:shd w:val="clear" w:color="auto" w:fill="FFFFFF" w:themeFill="background1"/>
            <w:vAlign w:val="center"/>
          </w:tcPr>
          <w:p w14:paraId="265D12C8" w14:textId="46638F2C"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993" w:type="dxa"/>
            <w:shd w:val="clear" w:color="auto" w:fill="FFFFFF" w:themeFill="background1"/>
            <w:vAlign w:val="center"/>
          </w:tcPr>
          <w:p w14:paraId="5BA63B27" w14:textId="72021984"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FC18FA" w:rsidRPr="006A56FF" w14:paraId="6177F3A3" w14:textId="77777777" w:rsidTr="00D55E9E">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DB5D7DA" w14:textId="7F324C94"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PEXPND</w:t>
            </w:r>
          </w:p>
        </w:tc>
        <w:tc>
          <w:tcPr>
            <w:tcW w:w="709" w:type="dxa"/>
            <w:shd w:val="clear" w:color="auto" w:fill="FFFFFF" w:themeFill="background1"/>
            <w:vAlign w:val="center"/>
          </w:tcPr>
          <w:p w14:paraId="14268C42" w14:textId="5FC8D873"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709" w:type="dxa"/>
            <w:shd w:val="clear" w:color="auto" w:fill="FFFFFF" w:themeFill="background1"/>
            <w:vAlign w:val="center"/>
          </w:tcPr>
          <w:p w14:paraId="25DF6D16" w14:textId="26DC5BDA"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850" w:type="dxa"/>
            <w:shd w:val="clear" w:color="auto" w:fill="FFFFFF" w:themeFill="background1"/>
            <w:vAlign w:val="center"/>
          </w:tcPr>
          <w:p w14:paraId="0768A5CF" w14:textId="0EB5D6B5"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1" w:type="dxa"/>
            <w:shd w:val="clear" w:color="auto" w:fill="FFFFFF" w:themeFill="background1"/>
            <w:vAlign w:val="center"/>
          </w:tcPr>
          <w:p w14:paraId="54ADAE3F" w14:textId="381EF50B"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8" w:type="dxa"/>
            <w:shd w:val="clear" w:color="auto" w:fill="FFFFFF" w:themeFill="background1"/>
            <w:vAlign w:val="center"/>
          </w:tcPr>
          <w:p w14:paraId="26027BA2" w14:textId="4E10D925"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276" w:type="dxa"/>
            <w:shd w:val="clear" w:color="auto" w:fill="FFFFFF" w:themeFill="background1"/>
            <w:vAlign w:val="center"/>
          </w:tcPr>
          <w:p w14:paraId="484DBA09" w14:textId="26C1C570"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992" w:type="dxa"/>
            <w:shd w:val="clear" w:color="auto" w:fill="FFFFFF" w:themeFill="background1"/>
            <w:vAlign w:val="center"/>
          </w:tcPr>
          <w:p w14:paraId="68E6D058" w14:textId="319DA810"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993" w:type="dxa"/>
            <w:shd w:val="clear" w:color="auto" w:fill="FFFFFF" w:themeFill="background1"/>
            <w:vAlign w:val="center"/>
          </w:tcPr>
          <w:p w14:paraId="79D3C171" w14:textId="5D3606FE"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FC18FA" w:rsidRPr="006A56FF" w14:paraId="0D7BD7B9"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1CA8FC7" w14:textId="62A31376"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709" w:type="dxa"/>
            <w:shd w:val="clear" w:color="auto" w:fill="FFFFFF" w:themeFill="background1"/>
            <w:vAlign w:val="center"/>
          </w:tcPr>
          <w:p w14:paraId="62FA9DC8" w14:textId="65716BAF"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709" w:type="dxa"/>
            <w:shd w:val="clear" w:color="auto" w:fill="FFFFFF" w:themeFill="background1"/>
            <w:vAlign w:val="center"/>
          </w:tcPr>
          <w:p w14:paraId="4383EF5A" w14:textId="6EBC7FA7"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850" w:type="dxa"/>
            <w:shd w:val="clear" w:color="auto" w:fill="FFFFFF" w:themeFill="background1"/>
            <w:vAlign w:val="center"/>
          </w:tcPr>
          <w:p w14:paraId="3782268A" w14:textId="76730D1B"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1" w:type="dxa"/>
            <w:shd w:val="clear" w:color="auto" w:fill="FFFFFF" w:themeFill="background1"/>
            <w:vAlign w:val="center"/>
          </w:tcPr>
          <w:p w14:paraId="170D439E" w14:textId="0E4DF09D"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8" w:type="dxa"/>
            <w:shd w:val="clear" w:color="auto" w:fill="FFFFFF" w:themeFill="background1"/>
            <w:vAlign w:val="center"/>
          </w:tcPr>
          <w:p w14:paraId="72E7C2D0" w14:textId="7767400C"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shd w:val="clear" w:color="auto" w:fill="FFFFFF" w:themeFill="background1"/>
            <w:vAlign w:val="center"/>
          </w:tcPr>
          <w:p w14:paraId="40298B2A" w14:textId="1FE437DB"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992" w:type="dxa"/>
            <w:shd w:val="clear" w:color="auto" w:fill="FFFFFF" w:themeFill="background1"/>
            <w:vAlign w:val="center"/>
          </w:tcPr>
          <w:p w14:paraId="14CCAFCA" w14:textId="1E957BE0"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993" w:type="dxa"/>
            <w:shd w:val="clear" w:color="auto" w:fill="FFFFFF" w:themeFill="background1"/>
            <w:vAlign w:val="center"/>
          </w:tcPr>
          <w:p w14:paraId="0B809095" w14:textId="483ACF5F"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FC18FA" w:rsidRPr="006A56FF" w14:paraId="1FE3FAD7" w14:textId="77777777" w:rsidTr="00D55E9E">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30F93AB" w14:textId="052C3A24"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LEX 65+</w:t>
            </w:r>
          </w:p>
        </w:tc>
        <w:tc>
          <w:tcPr>
            <w:tcW w:w="709" w:type="dxa"/>
            <w:shd w:val="clear" w:color="auto" w:fill="FFFFFF" w:themeFill="background1"/>
            <w:vAlign w:val="center"/>
          </w:tcPr>
          <w:p w14:paraId="67A1018D" w14:textId="7831FD49"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709" w:type="dxa"/>
            <w:shd w:val="clear" w:color="auto" w:fill="FFFFFF" w:themeFill="background1"/>
            <w:vAlign w:val="center"/>
          </w:tcPr>
          <w:p w14:paraId="26C576C9" w14:textId="5FBCE6EE"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850" w:type="dxa"/>
            <w:shd w:val="clear" w:color="auto" w:fill="FFFFFF" w:themeFill="background1"/>
            <w:vAlign w:val="center"/>
          </w:tcPr>
          <w:p w14:paraId="006ABA77" w14:textId="2F55076C"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1" w:type="dxa"/>
            <w:shd w:val="clear" w:color="auto" w:fill="FFFFFF" w:themeFill="background1"/>
            <w:vAlign w:val="center"/>
          </w:tcPr>
          <w:p w14:paraId="1980189C" w14:textId="7F1FDC3A"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8" w:type="dxa"/>
            <w:shd w:val="clear" w:color="auto" w:fill="FFFFFF" w:themeFill="background1"/>
            <w:vAlign w:val="center"/>
          </w:tcPr>
          <w:p w14:paraId="623CE70C" w14:textId="5E59C095"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276" w:type="dxa"/>
            <w:shd w:val="clear" w:color="auto" w:fill="FFFFFF" w:themeFill="background1"/>
            <w:vAlign w:val="center"/>
          </w:tcPr>
          <w:p w14:paraId="55789C8D" w14:textId="4026D382"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992" w:type="dxa"/>
            <w:shd w:val="clear" w:color="auto" w:fill="FFFFFF" w:themeFill="background1"/>
            <w:vAlign w:val="center"/>
          </w:tcPr>
          <w:p w14:paraId="0F1A9FA6" w14:textId="61A2F6AA"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993" w:type="dxa"/>
            <w:shd w:val="clear" w:color="auto" w:fill="FFFFFF" w:themeFill="background1"/>
            <w:vAlign w:val="center"/>
          </w:tcPr>
          <w:p w14:paraId="0B6B4F4B" w14:textId="59470DEF"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FC18FA" w:rsidRPr="006A56FF" w14:paraId="260AC738"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81AD93C" w14:textId="1C044471"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SPH</w:t>
            </w:r>
          </w:p>
        </w:tc>
        <w:tc>
          <w:tcPr>
            <w:tcW w:w="709" w:type="dxa"/>
            <w:shd w:val="clear" w:color="auto" w:fill="FFFFFF" w:themeFill="background1"/>
            <w:vAlign w:val="center"/>
          </w:tcPr>
          <w:p w14:paraId="090C7F15" w14:textId="4B80FF2F"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709" w:type="dxa"/>
            <w:shd w:val="clear" w:color="auto" w:fill="FFFFFF" w:themeFill="background1"/>
            <w:vAlign w:val="center"/>
          </w:tcPr>
          <w:p w14:paraId="3F740984" w14:textId="1D3027A3"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850" w:type="dxa"/>
            <w:shd w:val="clear" w:color="auto" w:fill="FFFFFF" w:themeFill="background1"/>
            <w:vAlign w:val="center"/>
          </w:tcPr>
          <w:p w14:paraId="619DF254" w14:textId="194F6932"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1" w:type="dxa"/>
            <w:shd w:val="clear" w:color="auto" w:fill="FFFFFF" w:themeFill="background1"/>
            <w:vAlign w:val="center"/>
          </w:tcPr>
          <w:p w14:paraId="03667781" w14:textId="5984062C"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8" w:type="dxa"/>
            <w:shd w:val="clear" w:color="auto" w:fill="FFFFFF" w:themeFill="background1"/>
            <w:vAlign w:val="center"/>
          </w:tcPr>
          <w:p w14:paraId="0D03546D" w14:textId="751AD3D2"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276" w:type="dxa"/>
            <w:shd w:val="clear" w:color="auto" w:fill="FFFFFF" w:themeFill="background1"/>
            <w:vAlign w:val="center"/>
          </w:tcPr>
          <w:p w14:paraId="53CA94CA" w14:textId="3214AAC7"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992" w:type="dxa"/>
            <w:shd w:val="clear" w:color="auto" w:fill="FFFFFF" w:themeFill="background1"/>
            <w:vAlign w:val="center"/>
          </w:tcPr>
          <w:p w14:paraId="1DBAF642" w14:textId="1E2D46C8"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993" w:type="dxa"/>
            <w:shd w:val="clear" w:color="auto" w:fill="FFFFFF" w:themeFill="background1"/>
            <w:vAlign w:val="center"/>
          </w:tcPr>
          <w:p w14:paraId="2885F288" w14:textId="37EF88A3"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r w:rsidR="00FC18FA" w:rsidRPr="006A56FF" w14:paraId="5F9AB83D" w14:textId="77777777" w:rsidTr="00D55E9E">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6896EF6" w14:textId="4007C1FA"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CIDX</w:t>
            </w:r>
          </w:p>
        </w:tc>
        <w:tc>
          <w:tcPr>
            <w:tcW w:w="709" w:type="dxa"/>
            <w:shd w:val="clear" w:color="auto" w:fill="FFFFFF" w:themeFill="background1"/>
            <w:vAlign w:val="center"/>
          </w:tcPr>
          <w:p w14:paraId="61728F02" w14:textId="2ECA9BC5"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709" w:type="dxa"/>
            <w:shd w:val="clear" w:color="auto" w:fill="FFFFFF" w:themeFill="background1"/>
            <w:vAlign w:val="center"/>
          </w:tcPr>
          <w:p w14:paraId="02E5300C" w14:textId="5B6D4A0A"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2D70FA8D" w14:textId="02D2E51F"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1" w:type="dxa"/>
            <w:shd w:val="clear" w:color="auto" w:fill="FFFFFF" w:themeFill="background1"/>
            <w:vAlign w:val="center"/>
          </w:tcPr>
          <w:p w14:paraId="6248C3EC" w14:textId="38ED9A21"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8" w:type="dxa"/>
            <w:shd w:val="clear" w:color="auto" w:fill="FFFFFF" w:themeFill="background1"/>
            <w:vAlign w:val="center"/>
          </w:tcPr>
          <w:p w14:paraId="1C911744" w14:textId="213D1AFF"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276" w:type="dxa"/>
            <w:shd w:val="clear" w:color="auto" w:fill="FFFFFF" w:themeFill="background1"/>
            <w:vAlign w:val="center"/>
          </w:tcPr>
          <w:p w14:paraId="05366014" w14:textId="5A105EC3"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992" w:type="dxa"/>
            <w:shd w:val="clear" w:color="auto" w:fill="FFFFFF" w:themeFill="background1"/>
            <w:vAlign w:val="center"/>
          </w:tcPr>
          <w:p w14:paraId="1210809D" w14:textId="5C4DD734"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993" w:type="dxa"/>
            <w:shd w:val="clear" w:color="auto" w:fill="FFFFFF" w:themeFill="background1"/>
            <w:vAlign w:val="center"/>
          </w:tcPr>
          <w:p w14:paraId="1E22B3FF" w14:textId="1DD3CC5F" w:rsidR="00FC18FA" w:rsidRPr="00D67B4C" w:rsidRDefault="00FC18FA" w:rsidP="00FC18FA">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FC18FA" w:rsidRPr="006A56FF" w14:paraId="2F53F581" w14:textId="77777777" w:rsidTr="00D55E9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tcBorders>
            <w:shd w:val="clear" w:color="auto" w:fill="FFFFFF" w:themeFill="background1"/>
            <w:vAlign w:val="center"/>
          </w:tcPr>
          <w:p w14:paraId="4D9AF684" w14:textId="73BE141B" w:rsidR="00FC18FA" w:rsidRPr="00D67B4C" w:rsidRDefault="00FC18FA" w:rsidP="00FC18FA">
            <w:pPr>
              <w:spacing w:line="276" w:lineRule="auto"/>
              <w:rPr>
                <w:b w:val="0"/>
                <w:bCs w:val="0"/>
                <w:caps w:val="0"/>
                <w:sz w:val="16"/>
                <w:szCs w:val="16"/>
                <w:lang w:val="en-US"/>
              </w:rPr>
            </w:pPr>
            <w:r w:rsidRPr="00D67B4C">
              <w:rPr>
                <w:b w:val="0"/>
                <w:bCs w:val="0"/>
                <w:caps w:val="0"/>
                <w:sz w:val="16"/>
                <w:szCs w:val="16"/>
                <w:lang w:val="en-US"/>
              </w:rPr>
              <w:t>MTAB</w:t>
            </w:r>
          </w:p>
        </w:tc>
        <w:tc>
          <w:tcPr>
            <w:tcW w:w="709" w:type="dxa"/>
            <w:tcBorders>
              <w:bottom w:val="single" w:sz="12" w:space="0" w:color="auto"/>
            </w:tcBorders>
            <w:shd w:val="clear" w:color="auto" w:fill="FFFFFF" w:themeFill="background1"/>
            <w:vAlign w:val="center"/>
          </w:tcPr>
          <w:p w14:paraId="4CF0178B" w14:textId="2DC6AB69"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tcBorders>
              <w:bottom w:val="single" w:sz="12" w:space="0" w:color="auto"/>
            </w:tcBorders>
            <w:shd w:val="clear" w:color="auto" w:fill="FFFFFF" w:themeFill="background1"/>
            <w:vAlign w:val="center"/>
          </w:tcPr>
          <w:p w14:paraId="31C4176C" w14:textId="0ABE59D2"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tcBorders>
              <w:bottom w:val="single" w:sz="12" w:space="0" w:color="auto"/>
            </w:tcBorders>
            <w:shd w:val="clear" w:color="auto" w:fill="FFFFFF" w:themeFill="background1"/>
            <w:vAlign w:val="center"/>
          </w:tcPr>
          <w:p w14:paraId="4AC3619A" w14:textId="6FAC84CA"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1" w:type="dxa"/>
            <w:tcBorders>
              <w:bottom w:val="single" w:sz="12" w:space="0" w:color="auto"/>
            </w:tcBorders>
            <w:shd w:val="clear" w:color="auto" w:fill="FFFFFF" w:themeFill="background1"/>
            <w:vAlign w:val="center"/>
          </w:tcPr>
          <w:p w14:paraId="448422D8" w14:textId="0E3EBD28"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8" w:type="dxa"/>
            <w:tcBorders>
              <w:bottom w:val="single" w:sz="12" w:space="0" w:color="auto"/>
            </w:tcBorders>
            <w:shd w:val="clear" w:color="auto" w:fill="FFFFFF" w:themeFill="background1"/>
            <w:vAlign w:val="center"/>
          </w:tcPr>
          <w:p w14:paraId="1C398067" w14:textId="40417E48"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tcBorders>
              <w:bottom w:val="single" w:sz="12" w:space="0" w:color="auto"/>
            </w:tcBorders>
            <w:shd w:val="clear" w:color="auto" w:fill="FFFFFF" w:themeFill="background1"/>
            <w:vAlign w:val="center"/>
          </w:tcPr>
          <w:p w14:paraId="64FFB147" w14:textId="411036BB"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2" w:type="dxa"/>
            <w:tcBorders>
              <w:bottom w:val="single" w:sz="12" w:space="0" w:color="auto"/>
            </w:tcBorders>
            <w:shd w:val="clear" w:color="auto" w:fill="FFFFFF" w:themeFill="background1"/>
            <w:vAlign w:val="center"/>
          </w:tcPr>
          <w:p w14:paraId="4040E408" w14:textId="3145CCD8"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3" w:type="dxa"/>
            <w:tcBorders>
              <w:bottom w:val="single" w:sz="12" w:space="0" w:color="auto"/>
            </w:tcBorders>
            <w:shd w:val="clear" w:color="auto" w:fill="FFFFFF" w:themeFill="background1"/>
            <w:vAlign w:val="center"/>
          </w:tcPr>
          <w:p w14:paraId="1478EEAF" w14:textId="61540864" w:rsidR="00FC18FA" w:rsidRPr="00D67B4C" w:rsidRDefault="00FC18FA" w:rsidP="00FC18FA">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bl>
    <w:bookmarkEnd w:id="19"/>
    <w:p w14:paraId="42FE1D1F" w14:textId="77777777" w:rsidR="00832038" w:rsidRPr="00D67B4C" w:rsidRDefault="00832038" w:rsidP="0083203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3E446E36" w14:textId="77777777" w:rsidR="00832038" w:rsidRPr="00D67B4C" w:rsidRDefault="00832038" w:rsidP="002A4B22">
      <w:pPr>
        <w:spacing w:after="160" w:line="259" w:lineRule="auto"/>
        <w:rPr>
          <w:rFonts w:eastAsiaTheme="minorHAnsi"/>
          <w:iCs/>
          <w:color w:val="auto"/>
          <w:sz w:val="20"/>
          <w:szCs w:val="14"/>
          <w:lang w:val="en-US"/>
        </w:rPr>
      </w:pPr>
    </w:p>
    <w:p w14:paraId="4BD54CA7" w14:textId="127DAC63" w:rsidR="00D67B4C" w:rsidRDefault="002E6277" w:rsidP="002A4B22">
      <w:pPr>
        <w:spacing w:after="160" w:line="259" w:lineRule="auto"/>
        <w:rPr>
          <w:rFonts w:eastAsiaTheme="minorHAnsi"/>
          <w:iCs/>
          <w:color w:val="auto"/>
          <w:szCs w:val="18"/>
          <w:lang w:val="en-US"/>
        </w:rPr>
      </w:pPr>
      <w:r>
        <w:rPr>
          <w:rFonts w:eastAsiaTheme="minorHAnsi"/>
          <w:iCs/>
          <w:color w:val="auto"/>
          <w:szCs w:val="18"/>
          <w:lang w:val="en-US"/>
        </w:rPr>
        <w:t>Table 3: Clustering based on benchmark percentages of same cluster solutions</w:t>
      </w:r>
    </w:p>
    <w:tbl>
      <w:tblPr>
        <w:tblStyle w:val="EinfacheTabelle3"/>
        <w:tblW w:w="8391" w:type="dxa"/>
        <w:shd w:val="clear" w:color="auto" w:fill="FFFFFF" w:themeFill="background1"/>
        <w:tblLayout w:type="fixed"/>
        <w:tblLook w:val="04A0" w:firstRow="1" w:lastRow="0" w:firstColumn="1" w:lastColumn="0" w:noHBand="0" w:noVBand="1"/>
      </w:tblPr>
      <w:tblGrid>
        <w:gridCol w:w="1276"/>
        <w:gridCol w:w="993"/>
        <w:gridCol w:w="850"/>
        <w:gridCol w:w="1276"/>
        <w:gridCol w:w="425"/>
        <w:gridCol w:w="709"/>
        <w:gridCol w:w="851"/>
        <w:gridCol w:w="708"/>
        <w:gridCol w:w="567"/>
        <w:gridCol w:w="736"/>
      </w:tblGrid>
      <w:tr w:rsidR="002E6277" w:rsidRPr="007A31D0" w14:paraId="5499F83F" w14:textId="77777777" w:rsidTr="000442E3">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9BC9EF0" w14:textId="77777777" w:rsidR="002E6277" w:rsidRPr="00C3071E" w:rsidRDefault="002E6277" w:rsidP="00AC77D4">
            <w:pPr>
              <w:spacing w:line="276" w:lineRule="auto"/>
              <w:rPr>
                <w:b w:val="0"/>
                <w:bCs w:val="0"/>
                <w:caps w:val="0"/>
                <w:color w:val="auto"/>
                <w:sz w:val="16"/>
                <w:szCs w:val="16"/>
                <w:lang w:val="en-US"/>
              </w:rPr>
            </w:pPr>
          </w:p>
        </w:tc>
        <w:tc>
          <w:tcPr>
            <w:tcW w:w="993" w:type="dxa"/>
            <w:tcBorders>
              <w:top w:val="single" w:sz="12" w:space="0" w:color="auto"/>
              <w:left w:val="nil"/>
              <w:bottom w:val="single" w:sz="4" w:space="0" w:color="auto"/>
            </w:tcBorders>
            <w:shd w:val="clear" w:color="auto" w:fill="FFFFFF" w:themeFill="background1"/>
            <w:vAlign w:val="center"/>
          </w:tcPr>
          <w:p w14:paraId="042A596C"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1</w:t>
            </w:r>
          </w:p>
        </w:tc>
        <w:tc>
          <w:tcPr>
            <w:tcW w:w="850" w:type="dxa"/>
            <w:tcBorders>
              <w:top w:val="single" w:sz="12" w:space="0" w:color="auto"/>
              <w:bottom w:val="single" w:sz="4" w:space="0" w:color="auto"/>
            </w:tcBorders>
            <w:shd w:val="clear" w:color="auto" w:fill="FFFFFF" w:themeFill="background1"/>
            <w:vAlign w:val="center"/>
          </w:tcPr>
          <w:p w14:paraId="67B53DDA"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2</w:t>
            </w:r>
          </w:p>
        </w:tc>
        <w:tc>
          <w:tcPr>
            <w:tcW w:w="1276" w:type="dxa"/>
            <w:tcBorders>
              <w:top w:val="single" w:sz="12" w:space="0" w:color="auto"/>
              <w:bottom w:val="single" w:sz="4" w:space="0" w:color="auto"/>
            </w:tcBorders>
            <w:shd w:val="clear" w:color="auto" w:fill="FFFFFF" w:themeFill="background1"/>
            <w:vAlign w:val="center"/>
          </w:tcPr>
          <w:p w14:paraId="2F12C830"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3</w:t>
            </w:r>
          </w:p>
        </w:tc>
        <w:tc>
          <w:tcPr>
            <w:tcW w:w="425" w:type="dxa"/>
            <w:tcBorders>
              <w:top w:val="single" w:sz="12" w:space="0" w:color="auto"/>
              <w:bottom w:val="single" w:sz="4" w:space="0" w:color="auto"/>
            </w:tcBorders>
            <w:shd w:val="clear" w:color="auto" w:fill="FFFFFF" w:themeFill="background1"/>
            <w:vAlign w:val="center"/>
          </w:tcPr>
          <w:p w14:paraId="7E9693CE"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4</w:t>
            </w:r>
          </w:p>
        </w:tc>
        <w:tc>
          <w:tcPr>
            <w:tcW w:w="709" w:type="dxa"/>
            <w:tcBorders>
              <w:top w:val="single" w:sz="12" w:space="0" w:color="auto"/>
              <w:bottom w:val="single" w:sz="4" w:space="0" w:color="auto"/>
            </w:tcBorders>
            <w:shd w:val="clear" w:color="auto" w:fill="FFFFFF" w:themeFill="background1"/>
            <w:vAlign w:val="center"/>
          </w:tcPr>
          <w:p w14:paraId="71B132C7"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5</w:t>
            </w:r>
          </w:p>
        </w:tc>
        <w:tc>
          <w:tcPr>
            <w:tcW w:w="851" w:type="dxa"/>
            <w:tcBorders>
              <w:top w:val="single" w:sz="12" w:space="0" w:color="auto"/>
              <w:bottom w:val="single" w:sz="4" w:space="0" w:color="auto"/>
            </w:tcBorders>
            <w:shd w:val="clear" w:color="auto" w:fill="FFFFFF" w:themeFill="background1"/>
            <w:vAlign w:val="center"/>
          </w:tcPr>
          <w:p w14:paraId="35F600B1" w14:textId="77777777" w:rsidR="002E6277" w:rsidRPr="00C3071E" w:rsidRDefault="002E6277" w:rsidP="00C3071E">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6</w:t>
            </w:r>
          </w:p>
        </w:tc>
        <w:tc>
          <w:tcPr>
            <w:tcW w:w="708" w:type="dxa"/>
            <w:tcBorders>
              <w:top w:val="single" w:sz="12" w:space="0" w:color="auto"/>
              <w:bottom w:val="single" w:sz="4" w:space="0" w:color="auto"/>
            </w:tcBorders>
            <w:shd w:val="clear" w:color="auto" w:fill="FFFFFF" w:themeFill="background1"/>
            <w:vAlign w:val="center"/>
          </w:tcPr>
          <w:p w14:paraId="39855EA4" w14:textId="77777777" w:rsidR="002E6277" w:rsidRPr="00C3071E" w:rsidRDefault="002E6277" w:rsidP="00C3071E">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7</w:t>
            </w:r>
          </w:p>
        </w:tc>
        <w:tc>
          <w:tcPr>
            <w:tcW w:w="567" w:type="dxa"/>
            <w:tcBorders>
              <w:top w:val="single" w:sz="12" w:space="0" w:color="auto"/>
              <w:bottom w:val="single" w:sz="4" w:space="0" w:color="auto"/>
            </w:tcBorders>
            <w:shd w:val="clear" w:color="auto" w:fill="FFFFFF" w:themeFill="background1"/>
            <w:vAlign w:val="center"/>
          </w:tcPr>
          <w:p w14:paraId="4C8C9956" w14:textId="77777777" w:rsidR="002E6277" w:rsidRPr="00C3071E" w:rsidRDefault="002E6277" w:rsidP="00C3071E">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8</w:t>
            </w:r>
          </w:p>
        </w:tc>
        <w:tc>
          <w:tcPr>
            <w:tcW w:w="736" w:type="dxa"/>
            <w:tcBorders>
              <w:top w:val="single" w:sz="12" w:space="0" w:color="auto"/>
              <w:bottom w:val="single" w:sz="4" w:space="0" w:color="auto"/>
            </w:tcBorders>
            <w:shd w:val="clear" w:color="auto" w:fill="FFFFFF" w:themeFill="background1"/>
            <w:vAlign w:val="center"/>
          </w:tcPr>
          <w:p w14:paraId="48E35753" w14:textId="77777777" w:rsidR="002E6277" w:rsidRPr="00C3071E" w:rsidRDefault="002E6277" w:rsidP="00C3071E">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sidRPr="00C3071E">
              <w:rPr>
                <w:b w:val="0"/>
                <w:bCs w:val="0"/>
                <w:caps w:val="0"/>
                <w:color w:val="auto"/>
                <w:sz w:val="16"/>
                <w:szCs w:val="16"/>
                <w:lang w:val="en-US"/>
              </w:rPr>
              <w:t>9</w:t>
            </w:r>
          </w:p>
        </w:tc>
      </w:tr>
      <w:tr w:rsidR="002E6277" w:rsidRPr="007A31D0" w14:paraId="6FC2C46E" w14:textId="77777777" w:rsidTr="000442E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31D574B6" w14:textId="20CADEA9" w:rsidR="002E6277" w:rsidRPr="00C3071E" w:rsidRDefault="002E6277" w:rsidP="00AC77D4">
            <w:pPr>
              <w:spacing w:line="276" w:lineRule="auto"/>
              <w:rPr>
                <w:b w:val="0"/>
                <w:bCs w:val="0"/>
                <w:caps w:val="0"/>
                <w:color w:val="auto"/>
                <w:sz w:val="16"/>
                <w:szCs w:val="16"/>
                <w:lang w:val="en-US"/>
              </w:rPr>
            </w:pPr>
            <w:r w:rsidRPr="00C3071E">
              <w:rPr>
                <w:b w:val="0"/>
                <w:bCs w:val="0"/>
                <w:caps w:val="0"/>
                <w:color w:val="auto"/>
                <w:sz w:val="16"/>
                <w:szCs w:val="16"/>
                <w:lang w:val="en-US"/>
              </w:rPr>
              <w:t>≥</w:t>
            </w:r>
            <w:r w:rsidR="00C3071E">
              <w:rPr>
                <w:b w:val="0"/>
                <w:bCs w:val="0"/>
                <w:caps w:val="0"/>
                <w:color w:val="auto"/>
                <w:sz w:val="16"/>
                <w:szCs w:val="16"/>
                <w:lang w:val="en-US"/>
              </w:rPr>
              <w:t xml:space="preserve"> </w:t>
            </w:r>
            <w:r w:rsidRPr="00C3071E">
              <w:rPr>
                <w:b w:val="0"/>
                <w:bCs w:val="0"/>
                <w:caps w:val="0"/>
                <w:color w:val="auto"/>
                <w:sz w:val="16"/>
                <w:szCs w:val="16"/>
                <w:lang w:val="en-US"/>
              </w:rPr>
              <w:t>0</w:t>
            </w:r>
            <w:r w:rsidR="00C3071E">
              <w:rPr>
                <w:b w:val="0"/>
                <w:bCs w:val="0"/>
                <w:caps w:val="0"/>
                <w:color w:val="auto"/>
                <w:sz w:val="16"/>
                <w:szCs w:val="16"/>
                <w:lang w:val="en-US"/>
              </w:rPr>
              <w:t>.</w:t>
            </w:r>
            <w:r w:rsidRPr="00C3071E">
              <w:rPr>
                <w:b w:val="0"/>
                <w:bCs w:val="0"/>
                <w:caps w:val="0"/>
                <w:color w:val="auto"/>
                <w:sz w:val="16"/>
                <w:szCs w:val="16"/>
                <w:lang w:val="en-US"/>
              </w:rPr>
              <w:t>66 and ≥ 0</w:t>
            </w:r>
            <w:r w:rsidR="00C3071E">
              <w:rPr>
                <w:b w:val="0"/>
                <w:bCs w:val="0"/>
                <w:caps w:val="0"/>
                <w:color w:val="auto"/>
                <w:sz w:val="16"/>
                <w:szCs w:val="16"/>
                <w:lang w:val="en-US"/>
              </w:rPr>
              <w:t>.</w:t>
            </w:r>
            <w:r w:rsidRPr="00C3071E">
              <w:rPr>
                <w:b w:val="0"/>
                <w:bCs w:val="0"/>
                <w:caps w:val="0"/>
                <w:color w:val="auto"/>
                <w:sz w:val="16"/>
                <w:szCs w:val="16"/>
                <w:lang w:val="en-US"/>
              </w:rPr>
              <w:t>5</w:t>
            </w:r>
            <w:r w:rsidR="00C3071E">
              <w:rPr>
                <w:b w:val="0"/>
                <w:bCs w:val="0"/>
                <w:caps w:val="0"/>
                <w:color w:val="auto"/>
                <w:sz w:val="16"/>
                <w:szCs w:val="16"/>
                <w:lang w:val="en-US"/>
              </w:rPr>
              <w:t xml:space="preserve"> cluster ties</w:t>
            </w:r>
          </w:p>
        </w:tc>
        <w:tc>
          <w:tcPr>
            <w:tcW w:w="993" w:type="dxa"/>
            <w:tcBorders>
              <w:top w:val="single" w:sz="4" w:space="0" w:color="auto"/>
              <w:left w:val="nil"/>
            </w:tcBorders>
            <w:shd w:val="clear" w:color="auto" w:fill="FFFFFF" w:themeFill="background1"/>
            <w:vAlign w:val="center"/>
          </w:tcPr>
          <w:p w14:paraId="68B3ACBE" w14:textId="22A12FA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AU</w:t>
            </w:r>
            <w:r w:rsidR="00B6557F" w:rsidRPr="00C3071E">
              <w:rPr>
                <w:color w:val="auto"/>
                <w:sz w:val="16"/>
                <w:szCs w:val="16"/>
              </w:rPr>
              <w:t xml:space="preserve">, </w:t>
            </w:r>
            <w:r w:rsidRPr="00C3071E">
              <w:rPr>
                <w:color w:val="auto"/>
                <w:sz w:val="16"/>
                <w:szCs w:val="16"/>
              </w:rPr>
              <w:t>BE</w:t>
            </w:r>
            <w:r w:rsidR="00B6557F" w:rsidRPr="00C3071E">
              <w:rPr>
                <w:color w:val="auto"/>
                <w:sz w:val="16"/>
                <w:szCs w:val="16"/>
              </w:rPr>
              <w:t xml:space="preserve">, CH, </w:t>
            </w:r>
            <w:r w:rsidRPr="00C3071E">
              <w:rPr>
                <w:color w:val="auto"/>
                <w:sz w:val="16"/>
                <w:szCs w:val="16"/>
              </w:rPr>
              <w:t>LU</w:t>
            </w:r>
            <w:r w:rsidR="00B6557F" w:rsidRPr="00C3071E">
              <w:rPr>
                <w:color w:val="auto"/>
                <w:sz w:val="16"/>
                <w:szCs w:val="16"/>
              </w:rPr>
              <w:t xml:space="preserve">, </w:t>
            </w:r>
            <w:r w:rsidRPr="00C3071E">
              <w:rPr>
                <w:color w:val="auto"/>
                <w:sz w:val="16"/>
                <w:szCs w:val="16"/>
              </w:rPr>
              <w:t>NL</w:t>
            </w:r>
          </w:p>
        </w:tc>
        <w:tc>
          <w:tcPr>
            <w:tcW w:w="850" w:type="dxa"/>
            <w:tcBorders>
              <w:top w:val="single" w:sz="4" w:space="0" w:color="auto"/>
            </w:tcBorders>
            <w:shd w:val="clear" w:color="auto" w:fill="FFFFFF" w:themeFill="background1"/>
            <w:vAlign w:val="center"/>
          </w:tcPr>
          <w:p w14:paraId="004C3AE2" w14:textId="5DD58D3C"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CZ</w:t>
            </w:r>
            <w:r w:rsidR="00B6557F" w:rsidRPr="00C3071E">
              <w:rPr>
                <w:color w:val="auto"/>
                <w:sz w:val="16"/>
                <w:szCs w:val="16"/>
                <w:lang w:val="en-US"/>
              </w:rPr>
              <w:t xml:space="preserve">, </w:t>
            </w:r>
            <w:r w:rsidRPr="00C3071E">
              <w:rPr>
                <w:color w:val="auto"/>
                <w:sz w:val="16"/>
                <w:szCs w:val="16"/>
                <w:lang w:val="en-US"/>
              </w:rPr>
              <w:t>LV</w:t>
            </w:r>
            <w:r w:rsidR="00B6557F" w:rsidRPr="00C3071E">
              <w:rPr>
                <w:color w:val="auto"/>
                <w:sz w:val="16"/>
                <w:szCs w:val="16"/>
                <w:lang w:val="en-US"/>
              </w:rPr>
              <w:t xml:space="preserve">, </w:t>
            </w:r>
            <w:r w:rsidRPr="00C3071E">
              <w:rPr>
                <w:color w:val="auto"/>
                <w:sz w:val="16"/>
                <w:szCs w:val="16"/>
                <w:lang w:val="en-US"/>
              </w:rPr>
              <w:t>PL</w:t>
            </w:r>
          </w:p>
        </w:tc>
        <w:tc>
          <w:tcPr>
            <w:tcW w:w="1276" w:type="dxa"/>
            <w:tcBorders>
              <w:top w:val="single" w:sz="4" w:space="0" w:color="auto"/>
            </w:tcBorders>
            <w:shd w:val="clear" w:color="auto" w:fill="FFFFFF" w:themeFill="background1"/>
            <w:vAlign w:val="center"/>
          </w:tcPr>
          <w:p w14:paraId="396C1E62" w14:textId="2FE0F33C"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w:t>
            </w:r>
            <w:r w:rsidR="00B6557F" w:rsidRPr="00C3071E">
              <w:rPr>
                <w:color w:val="auto"/>
                <w:sz w:val="16"/>
                <w:szCs w:val="16"/>
                <w:lang w:val="en-US"/>
              </w:rPr>
              <w:t xml:space="preserve">, </w:t>
            </w:r>
            <w:r w:rsidRPr="00C3071E">
              <w:rPr>
                <w:color w:val="auto"/>
                <w:sz w:val="16"/>
                <w:szCs w:val="16"/>
                <w:lang w:val="en-US"/>
              </w:rPr>
              <w:t>IE</w:t>
            </w:r>
            <w:r w:rsidR="00B6557F" w:rsidRPr="00C3071E">
              <w:rPr>
                <w:color w:val="auto"/>
                <w:sz w:val="16"/>
                <w:szCs w:val="16"/>
                <w:lang w:val="en-US"/>
              </w:rPr>
              <w:t xml:space="preserve">, </w:t>
            </w:r>
            <w:r w:rsidRPr="00C3071E">
              <w:rPr>
                <w:color w:val="auto"/>
                <w:sz w:val="16"/>
                <w:szCs w:val="16"/>
                <w:lang w:val="en-US"/>
              </w:rPr>
              <w:t>NO</w:t>
            </w:r>
            <w:r w:rsidR="00B6557F" w:rsidRPr="00C3071E">
              <w:rPr>
                <w:color w:val="auto"/>
                <w:sz w:val="16"/>
                <w:szCs w:val="16"/>
                <w:lang w:val="en-US"/>
              </w:rPr>
              <w:t xml:space="preserve">, </w:t>
            </w:r>
            <w:r w:rsidRPr="00C3071E">
              <w:rPr>
                <w:color w:val="auto"/>
                <w:sz w:val="16"/>
                <w:szCs w:val="16"/>
                <w:lang w:val="en-US"/>
              </w:rPr>
              <w:t>SE</w:t>
            </w:r>
          </w:p>
        </w:tc>
        <w:tc>
          <w:tcPr>
            <w:tcW w:w="425" w:type="dxa"/>
            <w:tcBorders>
              <w:top w:val="single" w:sz="4" w:space="0" w:color="auto"/>
            </w:tcBorders>
            <w:shd w:val="clear" w:color="auto" w:fill="FFFFFF" w:themeFill="background1"/>
            <w:vAlign w:val="center"/>
          </w:tcPr>
          <w:p w14:paraId="03D664C4"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EE</w:t>
            </w:r>
          </w:p>
        </w:tc>
        <w:tc>
          <w:tcPr>
            <w:tcW w:w="709" w:type="dxa"/>
            <w:tcBorders>
              <w:top w:val="single" w:sz="4" w:space="0" w:color="auto"/>
            </w:tcBorders>
            <w:shd w:val="clear" w:color="auto" w:fill="FFFFFF" w:themeFill="background1"/>
            <w:vAlign w:val="center"/>
          </w:tcPr>
          <w:p w14:paraId="2196F81D" w14:textId="4421A9C1"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DE</w:t>
            </w:r>
            <w:r w:rsidR="00B6557F" w:rsidRPr="00C3071E">
              <w:rPr>
                <w:color w:val="auto"/>
                <w:sz w:val="16"/>
                <w:szCs w:val="16"/>
                <w:lang w:val="en-US"/>
              </w:rPr>
              <w:t>, FI</w:t>
            </w:r>
          </w:p>
        </w:tc>
        <w:tc>
          <w:tcPr>
            <w:tcW w:w="851" w:type="dxa"/>
            <w:tcBorders>
              <w:top w:val="single" w:sz="4" w:space="0" w:color="auto"/>
            </w:tcBorders>
            <w:shd w:val="clear" w:color="auto" w:fill="FFFFFF" w:themeFill="background1"/>
            <w:vAlign w:val="center"/>
          </w:tcPr>
          <w:p w14:paraId="5DBBCF35" w14:textId="6524F9B1"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FR</w:t>
            </w:r>
            <w:r w:rsidR="00B6557F" w:rsidRPr="00C3071E">
              <w:rPr>
                <w:color w:val="auto"/>
                <w:sz w:val="16"/>
                <w:szCs w:val="16"/>
              </w:rPr>
              <w:t xml:space="preserve">, </w:t>
            </w:r>
            <w:r w:rsidRPr="00C3071E">
              <w:rPr>
                <w:color w:val="auto"/>
                <w:sz w:val="16"/>
                <w:szCs w:val="16"/>
              </w:rPr>
              <w:t>IL</w:t>
            </w:r>
            <w:r w:rsidR="00B6557F" w:rsidRPr="00C3071E">
              <w:rPr>
                <w:color w:val="auto"/>
                <w:sz w:val="16"/>
                <w:szCs w:val="16"/>
              </w:rPr>
              <w:t xml:space="preserve">, </w:t>
            </w:r>
            <w:r w:rsidRPr="00C3071E">
              <w:rPr>
                <w:color w:val="auto"/>
                <w:sz w:val="16"/>
                <w:szCs w:val="16"/>
              </w:rPr>
              <w:t>ES</w:t>
            </w:r>
            <w:r w:rsidR="00B6557F" w:rsidRPr="00C3071E">
              <w:rPr>
                <w:color w:val="auto"/>
                <w:sz w:val="16"/>
                <w:szCs w:val="16"/>
              </w:rPr>
              <w:t xml:space="preserve">, </w:t>
            </w:r>
            <w:r w:rsidRPr="00C3071E">
              <w:rPr>
                <w:color w:val="auto"/>
                <w:sz w:val="16"/>
                <w:szCs w:val="16"/>
              </w:rPr>
              <w:t>UK</w:t>
            </w:r>
            <w:r w:rsidR="00B6557F" w:rsidRPr="00C3071E">
              <w:rPr>
                <w:color w:val="auto"/>
                <w:sz w:val="16"/>
                <w:szCs w:val="16"/>
              </w:rPr>
              <w:t xml:space="preserve">, </w:t>
            </w:r>
            <w:r w:rsidRPr="00C3071E">
              <w:rPr>
                <w:color w:val="auto"/>
                <w:sz w:val="16"/>
                <w:szCs w:val="16"/>
              </w:rPr>
              <w:t>US</w:t>
            </w:r>
          </w:p>
        </w:tc>
        <w:tc>
          <w:tcPr>
            <w:tcW w:w="708" w:type="dxa"/>
            <w:tcBorders>
              <w:top w:val="single" w:sz="4" w:space="0" w:color="auto"/>
            </w:tcBorders>
            <w:shd w:val="clear" w:color="auto" w:fill="FFFFFF" w:themeFill="background1"/>
            <w:vAlign w:val="center"/>
          </w:tcPr>
          <w:p w14:paraId="3DEDF801" w14:textId="72BF0115"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JP</w:t>
            </w:r>
            <w:r w:rsidR="00B6557F" w:rsidRPr="00C3071E">
              <w:rPr>
                <w:color w:val="auto"/>
                <w:sz w:val="16"/>
                <w:szCs w:val="16"/>
                <w:lang w:val="en-US"/>
              </w:rPr>
              <w:t xml:space="preserve">, </w:t>
            </w:r>
            <w:r w:rsidRPr="00C3071E">
              <w:rPr>
                <w:color w:val="auto"/>
                <w:sz w:val="16"/>
                <w:szCs w:val="16"/>
                <w:lang w:val="en-US"/>
              </w:rPr>
              <w:t>KR</w:t>
            </w:r>
          </w:p>
        </w:tc>
        <w:tc>
          <w:tcPr>
            <w:tcW w:w="567" w:type="dxa"/>
            <w:tcBorders>
              <w:top w:val="single" w:sz="4" w:space="0" w:color="auto"/>
            </w:tcBorders>
            <w:shd w:val="clear" w:color="auto" w:fill="FFFFFF" w:themeFill="background1"/>
            <w:vAlign w:val="center"/>
          </w:tcPr>
          <w:p w14:paraId="6D501E0B"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NZ</w:t>
            </w:r>
          </w:p>
        </w:tc>
        <w:tc>
          <w:tcPr>
            <w:tcW w:w="736" w:type="dxa"/>
            <w:tcBorders>
              <w:top w:val="single" w:sz="4" w:space="0" w:color="auto"/>
            </w:tcBorders>
            <w:shd w:val="clear" w:color="auto" w:fill="FFFFFF" w:themeFill="background1"/>
            <w:vAlign w:val="center"/>
          </w:tcPr>
          <w:p w14:paraId="77D6352C" w14:textId="473C9B0C"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w:t>
            </w:r>
            <w:r w:rsidR="00B6557F" w:rsidRPr="00C3071E">
              <w:rPr>
                <w:color w:val="auto"/>
                <w:sz w:val="16"/>
                <w:szCs w:val="16"/>
                <w:lang w:val="en-US"/>
              </w:rPr>
              <w:t>I, SK</w:t>
            </w:r>
          </w:p>
        </w:tc>
      </w:tr>
      <w:tr w:rsidR="002E6277" w:rsidRPr="007A31D0" w14:paraId="3E5A9586" w14:textId="77777777" w:rsidTr="000442E3">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DF69C16" w14:textId="46DC787B" w:rsidR="002E6277" w:rsidRPr="00C3071E" w:rsidRDefault="002E6277" w:rsidP="00AC77D4">
            <w:pPr>
              <w:spacing w:line="276" w:lineRule="auto"/>
              <w:rPr>
                <w:b w:val="0"/>
                <w:bCs w:val="0"/>
                <w:caps w:val="0"/>
                <w:color w:val="auto"/>
                <w:sz w:val="16"/>
                <w:szCs w:val="16"/>
                <w:lang w:val="en-US"/>
              </w:rPr>
            </w:pPr>
            <w:r w:rsidRPr="00C3071E">
              <w:rPr>
                <w:b w:val="0"/>
                <w:bCs w:val="0"/>
                <w:caps w:val="0"/>
                <w:color w:val="auto"/>
                <w:sz w:val="16"/>
                <w:szCs w:val="16"/>
                <w:lang w:val="en-US"/>
              </w:rPr>
              <w:t>≥</w:t>
            </w:r>
            <w:r w:rsidR="00C3071E">
              <w:rPr>
                <w:b w:val="0"/>
                <w:bCs w:val="0"/>
                <w:caps w:val="0"/>
                <w:color w:val="auto"/>
                <w:sz w:val="16"/>
                <w:szCs w:val="16"/>
                <w:lang w:val="en-US"/>
              </w:rPr>
              <w:t xml:space="preserve"> </w:t>
            </w:r>
            <w:r w:rsidRPr="00C3071E">
              <w:rPr>
                <w:b w:val="0"/>
                <w:bCs w:val="0"/>
                <w:caps w:val="0"/>
                <w:color w:val="auto"/>
                <w:sz w:val="16"/>
                <w:szCs w:val="16"/>
                <w:lang w:val="en-US"/>
              </w:rPr>
              <w:t>0</w:t>
            </w:r>
            <w:r w:rsidR="00C3071E">
              <w:rPr>
                <w:b w:val="0"/>
                <w:bCs w:val="0"/>
                <w:caps w:val="0"/>
                <w:color w:val="auto"/>
                <w:sz w:val="16"/>
                <w:szCs w:val="16"/>
                <w:lang w:val="en-US"/>
              </w:rPr>
              <w:t>.</w:t>
            </w:r>
            <w:r w:rsidRPr="00C3071E">
              <w:rPr>
                <w:b w:val="0"/>
                <w:bCs w:val="0"/>
                <w:caps w:val="0"/>
                <w:color w:val="auto"/>
                <w:sz w:val="16"/>
                <w:szCs w:val="16"/>
                <w:lang w:val="en-US"/>
              </w:rPr>
              <w:t>5</w:t>
            </w:r>
            <w:r w:rsidR="00C3071E">
              <w:rPr>
                <w:b w:val="0"/>
                <w:bCs w:val="0"/>
                <w:caps w:val="0"/>
                <w:color w:val="auto"/>
                <w:sz w:val="16"/>
                <w:szCs w:val="16"/>
                <w:lang w:val="en-US"/>
              </w:rPr>
              <w:t xml:space="preserve"> cluster ties</w:t>
            </w:r>
          </w:p>
        </w:tc>
        <w:tc>
          <w:tcPr>
            <w:tcW w:w="993" w:type="dxa"/>
            <w:tcBorders>
              <w:left w:val="nil"/>
            </w:tcBorders>
            <w:shd w:val="clear" w:color="auto" w:fill="FFFFFF" w:themeFill="background1"/>
            <w:vAlign w:val="center"/>
          </w:tcPr>
          <w:p w14:paraId="663AB054" w14:textId="6818E4C6"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w:t>
            </w:r>
            <w:r w:rsidR="00B6557F" w:rsidRPr="00C3071E">
              <w:rPr>
                <w:color w:val="auto"/>
                <w:sz w:val="16"/>
                <w:szCs w:val="16"/>
                <w:lang w:val="en-US"/>
              </w:rPr>
              <w:t xml:space="preserve">, </w:t>
            </w:r>
            <w:r w:rsidRPr="00C3071E">
              <w:rPr>
                <w:color w:val="auto"/>
                <w:sz w:val="16"/>
                <w:szCs w:val="16"/>
                <w:lang w:val="en-US"/>
              </w:rPr>
              <w:t>UK</w:t>
            </w:r>
            <w:r w:rsidR="00B6557F" w:rsidRPr="00C3071E">
              <w:rPr>
                <w:color w:val="auto"/>
                <w:sz w:val="16"/>
                <w:szCs w:val="16"/>
                <w:lang w:val="en-US"/>
              </w:rPr>
              <w:t xml:space="preserve">, </w:t>
            </w:r>
            <w:r w:rsidRPr="00C3071E">
              <w:rPr>
                <w:color w:val="auto"/>
                <w:sz w:val="16"/>
                <w:szCs w:val="16"/>
                <w:lang w:val="en-US"/>
              </w:rPr>
              <w:t>IL</w:t>
            </w:r>
            <w:r w:rsidR="00B6557F" w:rsidRPr="00C3071E">
              <w:rPr>
                <w:color w:val="auto"/>
                <w:sz w:val="16"/>
                <w:szCs w:val="16"/>
                <w:lang w:val="en-US"/>
              </w:rPr>
              <w:t xml:space="preserve">, </w:t>
            </w:r>
            <w:r w:rsidRPr="00C3071E">
              <w:rPr>
                <w:color w:val="auto"/>
                <w:sz w:val="16"/>
                <w:szCs w:val="16"/>
                <w:lang w:val="en-US"/>
              </w:rPr>
              <w:t>SI</w:t>
            </w:r>
            <w:r w:rsidR="00B6557F" w:rsidRPr="00C3071E">
              <w:rPr>
                <w:color w:val="auto"/>
                <w:sz w:val="16"/>
                <w:szCs w:val="16"/>
                <w:lang w:val="en-US"/>
              </w:rPr>
              <w:t xml:space="preserve">, </w:t>
            </w:r>
            <w:r w:rsidRPr="00C3071E">
              <w:rPr>
                <w:color w:val="auto"/>
                <w:sz w:val="16"/>
                <w:szCs w:val="16"/>
                <w:lang w:val="en-US"/>
              </w:rPr>
              <w:t>SK</w:t>
            </w:r>
          </w:p>
        </w:tc>
        <w:tc>
          <w:tcPr>
            <w:tcW w:w="850" w:type="dxa"/>
            <w:shd w:val="clear" w:color="auto" w:fill="FFFFFF" w:themeFill="background1"/>
            <w:vAlign w:val="center"/>
          </w:tcPr>
          <w:p w14:paraId="748B75EE"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1276" w:type="dxa"/>
            <w:shd w:val="clear" w:color="auto" w:fill="FFFFFF" w:themeFill="background1"/>
            <w:vAlign w:val="center"/>
          </w:tcPr>
          <w:p w14:paraId="778283FB" w14:textId="33C181A3"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w:t>
            </w:r>
            <w:r w:rsidR="00B6557F" w:rsidRPr="00C3071E">
              <w:rPr>
                <w:color w:val="auto"/>
                <w:sz w:val="16"/>
                <w:szCs w:val="16"/>
                <w:lang w:val="en-US"/>
              </w:rPr>
              <w:t xml:space="preserve">, </w:t>
            </w:r>
            <w:r w:rsidRPr="00C3071E">
              <w:rPr>
                <w:color w:val="auto"/>
                <w:sz w:val="16"/>
                <w:szCs w:val="16"/>
                <w:lang w:val="en-US"/>
              </w:rPr>
              <w:t>KR</w:t>
            </w:r>
          </w:p>
        </w:tc>
        <w:tc>
          <w:tcPr>
            <w:tcW w:w="425" w:type="dxa"/>
            <w:shd w:val="clear" w:color="auto" w:fill="FFFFFF" w:themeFill="background1"/>
            <w:vAlign w:val="center"/>
          </w:tcPr>
          <w:p w14:paraId="650E2F83"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709" w:type="dxa"/>
            <w:shd w:val="clear" w:color="auto" w:fill="FFFFFF" w:themeFill="background1"/>
            <w:vAlign w:val="center"/>
          </w:tcPr>
          <w:p w14:paraId="6C41B431"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51" w:type="dxa"/>
            <w:shd w:val="clear" w:color="auto" w:fill="FFFFFF" w:themeFill="background1"/>
            <w:vAlign w:val="center"/>
          </w:tcPr>
          <w:p w14:paraId="40271049" w14:textId="0D36AD3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AU</w:t>
            </w:r>
            <w:r w:rsidR="00B6557F" w:rsidRPr="00C3071E">
              <w:rPr>
                <w:color w:val="auto"/>
                <w:sz w:val="16"/>
                <w:szCs w:val="16"/>
              </w:rPr>
              <w:t xml:space="preserve">, </w:t>
            </w:r>
            <w:r w:rsidRPr="00C3071E">
              <w:rPr>
                <w:color w:val="auto"/>
                <w:sz w:val="16"/>
                <w:szCs w:val="16"/>
              </w:rPr>
              <w:t>BE</w:t>
            </w:r>
          </w:p>
          <w:p w14:paraId="14C619D8" w14:textId="7726B9AF" w:rsidR="002E6277" w:rsidRPr="00C3071E" w:rsidRDefault="00B6557F"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 xml:space="preserve">CH, EE, </w:t>
            </w:r>
            <w:r w:rsidR="002E6277" w:rsidRPr="00C3071E">
              <w:rPr>
                <w:color w:val="auto"/>
                <w:sz w:val="16"/>
                <w:szCs w:val="16"/>
              </w:rPr>
              <w:t>LU</w:t>
            </w:r>
            <w:r w:rsidRPr="00C3071E">
              <w:rPr>
                <w:color w:val="auto"/>
                <w:sz w:val="16"/>
                <w:szCs w:val="16"/>
              </w:rPr>
              <w:t xml:space="preserve">, </w:t>
            </w:r>
            <w:r w:rsidR="002E6277" w:rsidRPr="00C3071E">
              <w:rPr>
                <w:color w:val="auto"/>
                <w:sz w:val="16"/>
                <w:szCs w:val="16"/>
              </w:rPr>
              <w:t>NL</w:t>
            </w:r>
            <w:r w:rsidRPr="00C3071E">
              <w:rPr>
                <w:color w:val="auto"/>
                <w:sz w:val="16"/>
                <w:szCs w:val="16"/>
              </w:rPr>
              <w:t xml:space="preserve">, </w:t>
            </w:r>
            <w:r w:rsidR="002E6277" w:rsidRPr="00C3071E">
              <w:rPr>
                <w:color w:val="auto"/>
                <w:sz w:val="16"/>
                <w:szCs w:val="16"/>
              </w:rPr>
              <w:t>NZ</w:t>
            </w:r>
            <w:r w:rsidRPr="00C3071E">
              <w:rPr>
                <w:color w:val="auto"/>
                <w:sz w:val="16"/>
                <w:szCs w:val="16"/>
              </w:rPr>
              <w:t xml:space="preserve">, </w:t>
            </w:r>
            <w:r w:rsidR="002E6277" w:rsidRPr="00C3071E">
              <w:rPr>
                <w:color w:val="auto"/>
                <w:sz w:val="16"/>
                <w:szCs w:val="16"/>
              </w:rPr>
              <w:t>S</w:t>
            </w:r>
            <w:r w:rsidRPr="00C3071E">
              <w:rPr>
                <w:color w:val="auto"/>
                <w:sz w:val="16"/>
                <w:szCs w:val="16"/>
              </w:rPr>
              <w:t xml:space="preserve">K, </w:t>
            </w:r>
            <w:r w:rsidR="002E6277" w:rsidRPr="00C3071E">
              <w:rPr>
                <w:color w:val="auto"/>
                <w:sz w:val="16"/>
                <w:szCs w:val="16"/>
              </w:rPr>
              <w:t>S</w:t>
            </w:r>
            <w:r w:rsidRPr="00C3071E">
              <w:rPr>
                <w:color w:val="auto"/>
                <w:sz w:val="16"/>
                <w:szCs w:val="16"/>
              </w:rPr>
              <w:t>I</w:t>
            </w:r>
          </w:p>
        </w:tc>
        <w:tc>
          <w:tcPr>
            <w:tcW w:w="708" w:type="dxa"/>
            <w:shd w:val="clear" w:color="auto" w:fill="FFFFFF" w:themeFill="background1"/>
            <w:vAlign w:val="center"/>
          </w:tcPr>
          <w:p w14:paraId="7321CD83" w14:textId="7A817194"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w:t>
            </w:r>
            <w:r w:rsidR="00B6557F" w:rsidRPr="00C3071E">
              <w:rPr>
                <w:color w:val="auto"/>
                <w:sz w:val="16"/>
                <w:szCs w:val="16"/>
                <w:lang w:val="en-US"/>
              </w:rPr>
              <w:t xml:space="preserve">, </w:t>
            </w:r>
            <w:r w:rsidRPr="00C3071E">
              <w:rPr>
                <w:color w:val="auto"/>
                <w:sz w:val="16"/>
                <w:szCs w:val="16"/>
                <w:lang w:val="en-US"/>
              </w:rPr>
              <w:t>IE</w:t>
            </w:r>
            <w:r w:rsidR="00B6557F" w:rsidRPr="00C3071E">
              <w:rPr>
                <w:color w:val="auto"/>
                <w:sz w:val="16"/>
                <w:szCs w:val="16"/>
                <w:lang w:val="en-US"/>
              </w:rPr>
              <w:t xml:space="preserve">, </w:t>
            </w:r>
            <w:r w:rsidRPr="00C3071E">
              <w:rPr>
                <w:color w:val="auto"/>
                <w:sz w:val="16"/>
                <w:szCs w:val="16"/>
                <w:lang w:val="en-US"/>
              </w:rPr>
              <w:t>NO</w:t>
            </w:r>
            <w:r w:rsidR="00B6557F" w:rsidRPr="00C3071E">
              <w:rPr>
                <w:color w:val="auto"/>
                <w:sz w:val="16"/>
                <w:szCs w:val="16"/>
                <w:lang w:val="en-US"/>
              </w:rPr>
              <w:t xml:space="preserve">, </w:t>
            </w:r>
            <w:r w:rsidRPr="00C3071E">
              <w:rPr>
                <w:color w:val="auto"/>
                <w:sz w:val="16"/>
                <w:szCs w:val="16"/>
                <w:lang w:val="en-US"/>
              </w:rPr>
              <w:t>SE</w:t>
            </w:r>
          </w:p>
        </w:tc>
        <w:tc>
          <w:tcPr>
            <w:tcW w:w="567" w:type="dxa"/>
            <w:shd w:val="clear" w:color="auto" w:fill="FFFFFF" w:themeFill="background1"/>
            <w:vAlign w:val="center"/>
          </w:tcPr>
          <w:p w14:paraId="062F5536" w14:textId="501BE272"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w:t>
            </w:r>
            <w:r w:rsidR="00B6557F" w:rsidRPr="00C3071E">
              <w:rPr>
                <w:color w:val="auto"/>
                <w:sz w:val="16"/>
                <w:szCs w:val="16"/>
                <w:lang w:val="en-US"/>
              </w:rPr>
              <w:t xml:space="preserve">, </w:t>
            </w:r>
            <w:r w:rsidRPr="00C3071E">
              <w:rPr>
                <w:color w:val="auto"/>
                <w:sz w:val="16"/>
                <w:szCs w:val="16"/>
                <w:lang w:val="en-US"/>
              </w:rPr>
              <w:t>U</w:t>
            </w:r>
            <w:r w:rsidR="00B6557F" w:rsidRPr="00C3071E">
              <w:rPr>
                <w:color w:val="auto"/>
                <w:sz w:val="16"/>
                <w:szCs w:val="16"/>
                <w:lang w:val="en-US"/>
              </w:rPr>
              <w:t xml:space="preserve">K, </w:t>
            </w:r>
            <w:r w:rsidRPr="00C3071E">
              <w:rPr>
                <w:color w:val="auto"/>
                <w:sz w:val="16"/>
                <w:szCs w:val="16"/>
                <w:lang w:val="en-US"/>
              </w:rPr>
              <w:t>U</w:t>
            </w:r>
            <w:r w:rsidR="00B6557F" w:rsidRPr="00C3071E">
              <w:rPr>
                <w:color w:val="auto"/>
                <w:sz w:val="16"/>
                <w:szCs w:val="16"/>
                <w:lang w:val="en-US"/>
              </w:rPr>
              <w:t>S</w:t>
            </w:r>
          </w:p>
        </w:tc>
        <w:tc>
          <w:tcPr>
            <w:tcW w:w="736" w:type="dxa"/>
            <w:shd w:val="clear" w:color="auto" w:fill="FFFFFF" w:themeFill="background1"/>
            <w:vAlign w:val="center"/>
          </w:tcPr>
          <w:p w14:paraId="60E4A353"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2E6277" w:rsidRPr="00B33E18" w14:paraId="467E2D3E" w14:textId="77777777" w:rsidTr="000442E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2F7CAC1" w14:textId="7269C759" w:rsidR="00C3071E" w:rsidRDefault="002E6277" w:rsidP="00AC77D4">
            <w:pPr>
              <w:spacing w:line="276" w:lineRule="auto"/>
              <w:rPr>
                <w:color w:val="auto"/>
                <w:sz w:val="16"/>
                <w:szCs w:val="16"/>
                <w:lang w:val="en-US"/>
              </w:rPr>
            </w:pPr>
            <w:r w:rsidRPr="00C3071E">
              <w:rPr>
                <w:b w:val="0"/>
                <w:bCs w:val="0"/>
                <w:caps w:val="0"/>
                <w:color w:val="auto"/>
                <w:sz w:val="16"/>
                <w:szCs w:val="16"/>
                <w:lang w:val="en-US"/>
              </w:rPr>
              <w:t xml:space="preserve">Strongest tie </w:t>
            </w:r>
          </w:p>
          <w:p w14:paraId="3426FE83" w14:textId="5A12DD44" w:rsidR="002E6277" w:rsidRPr="00C3071E" w:rsidRDefault="002E6277" w:rsidP="00AC77D4">
            <w:pPr>
              <w:spacing w:line="276" w:lineRule="auto"/>
              <w:rPr>
                <w:b w:val="0"/>
                <w:bCs w:val="0"/>
                <w:caps w:val="0"/>
                <w:color w:val="auto"/>
                <w:sz w:val="16"/>
                <w:szCs w:val="16"/>
                <w:lang w:val="en-US"/>
              </w:rPr>
            </w:pPr>
            <w:r w:rsidRPr="00C3071E">
              <w:rPr>
                <w:b w:val="0"/>
                <w:bCs w:val="0"/>
                <w:caps w:val="0"/>
                <w:color w:val="auto"/>
                <w:sz w:val="16"/>
                <w:szCs w:val="16"/>
                <w:lang w:val="en-US"/>
              </w:rPr>
              <w:t xml:space="preserve">in </w:t>
            </w:r>
            <w:r w:rsidR="00C3071E">
              <w:rPr>
                <w:b w:val="0"/>
                <w:bCs w:val="0"/>
                <w:caps w:val="0"/>
                <w:color w:val="auto"/>
                <w:sz w:val="16"/>
                <w:szCs w:val="16"/>
                <w:lang w:val="en-US"/>
              </w:rPr>
              <w:t xml:space="preserve">full </w:t>
            </w:r>
            <w:r w:rsidRPr="00C3071E">
              <w:rPr>
                <w:b w:val="0"/>
                <w:bCs w:val="0"/>
                <w:caps w:val="0"/>
                <w:color w:val="auto"/>
                <w:sz w:val="16"/>
                <w:szCs w:val="16"/>
                <w:lang w:val="en-US"/>
              </w:rPr>
              <w:t>cluster</w:t>
            </w:r>
          </w:p>
        </w:tc>
        <w:tc>
          <w:tcPr>
            <w:tcW w:w="993" w:type="dxa"/>
            <w:tcBorders>
              <w:left w:val="nil"/>
            </w:tcBorders>
            <w:shd w:val="clear" w:color="auto" w:fill="FFFFFF" w:themeFill="background1"/>
            <w:vAlign w:val="center"/>
          </w:tcPr>
          <w:p w14:paraId="56FEB058" w14:textId="5AB27706"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LU_NL</w:t>
            </w:r>
            <w:r w:rsidR="00B6557F" w:rsidRPr="00C3071E">
              <w:rPr>
                <w:color w:val="auto"/>
                <w:sz w:val="16"/>
                <w:szCs w:val="16"/>
                <w:lang w:val="en-US"/>
              </w:rPr>
              <w:t xml:space="preserve"> (1,0)</w:t>
            </w:r>
          </w:p>
        </w:tc>
        <w:tc>
          <w:tcPr>
            <w:tcW w:w="850" w:type="dxa"/>
            <w:shd w:val="clear" w:color="auto" w:fill="FFFFFF" w:themeFill="background1"/>
            <w:vAlign w:val="center"/>
          </w:tcPr>
          <w:p w14:paraId="7B2D14A6" w14:textId="77777777" w:rsidR="00B6557F"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LV_PL</w:t>
            </w:r>
          </w:p>
          <w:p w14:paraId="03C00820" w14:textId="68F25FE5" w:rsidR="002E6277" w:rsidRPr="00C3071E" w:rsidRDefault="00B6557F"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p>
        </w:tc>
        <w:tc>
          <w:tcPr>
            <w:tcW w:w="1276" w:type="dxa"/>
            <w:shd w:val="clear" w:color="auto" w:fill="FFFFFF" w:themeFill="background1"/>
            <w:vAlign w:val="center"/>
          </w:tcPr>
          <w:p w14:paraId="7904532B" w14:textId="3A148FAE"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DK_IE</w:t>
            </w:r>
            <w:r w:rsidR="00B6557F" w:rsidRPr="00C3071E">
              <w:rPr>
                <w:color w:val="auto"/>
                <w:sz w:val="16"/>
                <w:szCs w:val="16"/>
                <w:lang w:val="en-US"/>
              </w:rPr>
              <w:t xml:space="preserve"> </w:t>
            </w:r>
            <w:r w:rsidR="00B6557F" w:rsidRPr="00C3071E">
              <w:rPr>
                <w:color w:val="auto"/>
                <w:sz w:val="16"/>
                <w:szCs w:val="16"/>
                <w:lang w:val="en-US"/>
              </w:rPr>
              <w:t>(1,0)</w:t>
            </w:r>
          </w:p>
          <w:p w14:paraId="35F78485" w14:textId="4002DBAE"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DK_NO</w:t>
            </w:r>
            <w:r w:rsidR="00B6557F" w:rsidRPr="00C3071E">
              <w:rPr>
                <w:color w:val="auto"/>
                <w:sz w:val="16"/>
                <w:szCs w:val="16"/>
                <w:lang w:val="en-US"/>
              </w:rPr>
              <w:t xml:space="preserve"> </w:t>
            </w:r>
            <w:r w:rsidR="00B6557F" w:rsidRPr="00C3071E">
              <w:rPr>
                <w:color w:val="auto"/>
                <w:sz w:val="16"/>
                <w:szCs w:val="16"/>
                <w:lang w:val="en-US"/>
              </w:rPr>
              <w:t>(1,0)</w:t>
            </w:r>
          </w:p>
          <w:p w14:paraId="73A3AB5E" w14:textId="733CDC09"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DK_SE</w:t>
            </w:r>
            <w:r w:rsidR="00B6557F" w:rsidRPr="00C3071E">
              <w:rPr>
                <w:color w:val="auto"/>
                <w:sz w:val="16"/>
                <w:szCs w:val="16"/>
                <w:lang w:val="en-US"/>
              </w:rPr>
              <w:t xml:space="preserve"> </w:t>
            </w:r>
            <w:r w:rsidR="00B6557F" w:rsidRPr="00C3071E">
              <w:rPr>
                <w:color w:val="auto"/>
                <w:sz w:val="16"/>
                <w:szCs w:val="16"/>
                <w:lang w:val="en-US"/>
              </w:rPr>
              <w:t>(1,0)</w:t>
            </w:r>
          </w:p>
          <w:p w14:paraId="68F2392C" w14:textId="5FF83F58"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IE_NO</w:t>
            </w:r>
            <w:r w:rsidR="00B6557F" w:rsidRPr="00C3071E">
              <w:rPr>
                <w:color w:val="auto"/>
                <w:sz w:val="16"/>
                <w:szCs w:val="16"/>
                <w:lang w:val="en-US"/>
              </w:rPr>
              <w:t xml:space="preserve"> </w:t>
            </w:r>
            <w:r w:rsidR="00B6557F" w:rsidRPr="00C3071E">
              <w:rPr>
                <w:color w:val="auto"/>
                <w:sz w:val="16"/>
                <w:szCs w:val="16"/>
                <w:lang w:val="en-US"/>
              </w:rPr>
              <w:t>(1,0)</w:t>
            </w:r>
          </w:p>
          <w:p w14:paraId="2F8828EC" w14:textId="2632A339"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IE_SE</w:t>
            </w:r>
            <w:r w:rsidR="00B6557F" w:rsidRPr="00C3071E">
              <w:rPr>
                <w:color w:val="auto"/>
                <w:sz w:val="16"/>
                <w:szCs w:val="16"/>
                <w:lang w:val="en-US"/>
              </w:rPr>
              <w:t xml:space="preserve"> </w:t>
            </w:r>
            <w:r w:rsidR="00B6557F" w:rsidRPr="00C3071E">
              <w:rPr>
                <w:color w:val="auto"/>
                <w:sz w:val="16"/>
                <w:szCs w:val="16"/>
                <w:lang w:val="en-US"/>
              </w:rPr>
              <w:t>(1,0)</w:t>
            </w:r>
          </w:p>
          <w:p w14:paraId="1596BAB5" w14:textId="6D527A56"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NO_SE</w:t>
            </w:r>
            <w:r w:rsidR="00B6557F" w:rsidRPr="00C3071E">
              <w:rPr>
                <w:color w:val="auto"/>
                <w:sz w:val="16"/>
                <w:szCs w:val="16"/>
                <w:lang w:val="en-US"/>
              </w:rPr>
              <w:t xml:space="preserve"> </w:t>
            </w:r>
            <w:r w:rsidR="00B6557F" w:rsidRPr="00C3071E">
              <w:rPr>
                <w:color w:val="auto"/>
                <w:sz w:val="16"/>
                <w:szCs w:val="16"/>
                <w:lang w:val="en-US"/>
              </w:rPr>
              <w:t>(1,0)</w:t>
            </w:r>
          </w:p>
        </w:tc>
        <w:tc>
          <w:tcPr>
            <w:tcW w:w="425" w:type="dxa"/>
            <w:shd w:val="clear" w:color="auto" w:fill="FFFFFF" w:themeFill="background1"/>
            <w:vAlign w:val="center"/>
          </w:tcPr>
          <w:p w14:paraId="5285647B"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709" w:type="dxa"/>
            <w:shd w:val="clear" w:color="auto" w:fill="FFFFFF" w:themeFill="background1"/>
            <w:vAlign w:val="center"/>
          </w:tcPr>
          <w:p w14:paraId="6A88B3D8" w14:textId="5DD30423" w:rsidR="00B6557F"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FI_DE</w:t>
            </w:r>
          </w:p>
          <w:p w14:paraId="626C9B66" w14:textId="213432AC" w:rsidR="002E6277" w:rsidRPr="00C3071E" w:rsidRDefault="00B6557F"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w:t>
            </w:r>
            <w:r w:rsidR="002E6277" w:rsidRPr="00C3071E">
              <w:rPr>
                <w:color w:val="auto"/>
                <w:sz w:val="16"/>
                <w:szCs w:val="16"/>
                <w:lang w:val="en-US"/>
              </w:rPr>
              <w:t>0.94</w:t>
            </w:r>
            <w:r w:rsidRPr="00C3071E">
              <w:rPr>
                <w:color w:val="auto"/>
                <w:sz w:val="16"/>
                <w:szCs w:val="16"/>
                <w:lang w:val="en-US"/>
              </w:rPr>
              <w:t>)</w:t>
            </w:r>
          </w:p>
        </w:tc>
        <w:tc>
          <w:tcPr>
            <w:tcW w:w="851" w:type="dxa"/>
            <w:shd w:val="clear" w:color="auto" w:fill="FFFFFF" w:themeFill="background1"/>
            <w:vAlign w:val="center"/>
          </w:tcPr>
          <w:p w14:paraId="45CC1495" w14:textId="77777777" w:rsidR="00B6557F"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ES_US</w:t>
            </w:r>
          </w:p>
          <w:p w14:paraId="7B92744A" w14:textId="148FDE4B" w:rsidR="002E6277" w:rsidRPr="00C3071E" w:rsidRDefault="00B6557F"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w:t>
            </w:r>
            <w:r w:rsidR="002E6277" w:rsidRPr="00C3071E">
              <w:rPr>
                <w:color w:val="auto"/>
                <w:sz w:val="16"/>
                <w:szCs w:val="16"/>
                <w:lang w:val="en-US"/>
              </w:rPr>
              <w:t>0.94</w:t>
            </w:r>
            <w:r w:rsidRPr="00C3071E">
              <w:rPr>
                <w:color w:val="auto"/>
                <w:sz w:val="16"/>
                <w:szCs w:val="16"/>
                <w:lang w:val="en-US"/>
              </w:rPr>
              <w:t>)</w:t>
            </w:r>
          </w:p>
        </w:tc>
        <w:tc>
          <w:tcPr>
            <w:tcW w:w="708" w:type="dxa"/>
            <w:shd w:val="clear" w:color="auto" w:fill="FFFFFF" w:themeFill="background1"/>
            <w:vAlign w:val="center"/>
          </w:tcPr>
          <w:p w14:paraId="180E4722" w14:textId="77777777" w:rsidR="00B6557F"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JP_KR</w:t>
            </w:r>
          </w:p>
          <w:p w14:paraId="3C842BBA" w14:textId="7D37BFBC" w:rsidR="002E6277" w:rsidRPr="00C3071E" w:rsidRDefault="00B6557F"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w:t>
            </w:r>
            <w:r w:rsidR="002E6277" w:rsidRPr="00C3071E">
              <w:rPr>
                <w:color w:val="auto"/>
                <w:sz w:val="16"/>
                <w:szCs w:val="16"/>
                <w:lang w:val="en-US"/>
              </w:rPr>
              <w:t>0.94</w:t>
            </w:r>
            <w:r w:rsidRPr="00C3071E">
              <w:rPr>
                <w:color w:val="auto"/>
                <w:sz w:val="16"/>
                <w:szCs w:val="16"/>
                <w:lang w:val="en-US"/>
              </w:rPr>
              <w:t>)</w:t>
            </w:r>
          </w:p>
        </w:tc>
        <w:tc>
          <w:tcPr>
            <w:tcW w:w="567" w:type="dxa"/>
            <w:shd w:val="clear" w:color="auto" w:fill="FFFFFF" w:themeFill="background1"/>
            <w:vAlign w:val="center"/>
          </w:tcPr>
          <w:p w14:paraId="358E4754"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736" w:type="dxa"/>
            <w:shd w:val="clear" w:color="auto" w:fill="FFFFFF" w:themeFill="background1"/>
            <w:vAlign w:val="center"/>
          </w:tcPr>
          <w:p w14:paraId="1C0EE8DB" w14:textId="77777777" w:rsidR="00B6557F"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SK_SI</w:t>
            </w:r>
          </w:p>
          <w:p w14:paraId="2E53234E" w14:textId="62146D1B" w:rsidR="002E6277" w:rsidRPr="00C3071E" w:rsidRDefault="00B6557F"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w:t>
            </w:r>
            <w:r w:rsidR="002E6277" w:rsidRPr="00C3071E">
              <w:rPr>
                <w:color w:val="auto"/>
                <w:sz w:val="16"/>
                <w:szCs w:val="16"/>
                <w:lang w:val="en-US"/>
              </w:rPr>
              <w:t>0.72</w:t>
            </w:r>
            <w:r w:rsidRPr="00C3071E">
              <w:rPr>
                <w:color w:val="auto"/>
                <w:sz w:val="16"/>
                <w:szCs w:val="16"/>
                <w:lang w:val="en-US"/>
              </w:rPr>
              <w:t>)</w:t>
            </w:r>
          </w:p>
        </w:tc>
      </w:tr>
      <w:tr w:rsidR="002E6277" w:rsidRPr="007A31D0" w14:paraId="55414D44" w14:textId="77777777" w:rsidTr="000442E3">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19A8F6B" w14:textId="67E8B7DE" w:rsidR="002E6277" w:rsidRPr="00C3071E" w:rsidRDefault="002E6277" w:rsidP="00AC77D4">
            <w:pPr>
              <w:spacing w:line="276" w:lineRule="auto"/>
              <w:rPr>
                <w:b w:val="0"/>
                <w:bCs w:val="0"/>
                <w:caps w:val="0"/>
                <w:color w:val="auto"/>
                <w:sz w:val="16"/>
                <w:szCs w:val="16"/>
                <w:lang w:val="en-US"/>
              </w:rPr>
            </w:pPr>
            <w:r w:rsidRPr="00C3071E">
              <w:rPr>
                <w:b w:val="0"/>
                <w:bCs w:val="0"/>
                <w:caps w:val="0"/>
                <w:color w:val="auto"/>
                <w:sz w:val="16"/>
                <w:szCs w:val="16"/>
                <w:lang w:val="en-US"/>
              </w:rPr>
              <w:t>≥</w:t>
            </w:r>
            <w:r w:rsidR="00C3071E">
              <w:rPr>
                <w:b w:val="0"/>
                <w:bCs w:val="0"/>
                <w:caps w:val="0"/>
                <w:color w:val="auto"/>
                <w:sz w:val="16"/>
                <w:szCs w:val="16"/>
                <w:lang w:val="en-US"/>
              </w:rPr>
              <w:t xml:space="preserve"> </w:t>
            </w:r>
            <w:r w:rsidRPr="00C3071E">
              <w:rPr>
                <w:b w:val="0"/>
                <w:bCs w:val="0"/>
                <w:caps w:val="0"/>
                <w:color w:val="auto"/>
                <w:sz w:val="16"/>
                <w:szCs w:val="16"/>
                <w:lang w:val="en-US"/>
              </w:rPr>
              <w:t>0</w:t>
            </w:r>
            <w:r w:rsidR="00C3071E">
              <w:rPr>
                <w:b w:val="0"/>
                <w:bCs w:val="0"/>
                <w:caps w:val="0"/>
                <w:color w:val="auto"/>
                <w:sz w:val="16"/>
                <w:szCs w:val="16"/>
                <w:lang w:val="en-US"/>
              </w:rPr>
              <w:t>.</w:t>
            </w:r>
            <w:r w:rsidRPr="00C3071E">
              <w:rPr>
                <w:b w:val="0"/>
                <w:bCs w:val="0"/>
                <w:caps w:val="0"/>
                <w:color w:val="auto"/>
                <w:sz w:val="16"/>
                <w:szCs w:val="16"/>
                <w:lang w:val="en-US"/>
              </w:rPr>
              <w:t>9</w:t>
            </w:r>
            <w:r w:rsidR="00C3071E">
              <w:rPr>
                <w:b w:val="0"/>
                <w:bCs w:val="0"/>
                <w:caps w:val="0"/>
                <w:color w:val="auto"/>
                <w:sz w:val="16"/>
                <w:szCs w:val="16"/>
                <w:lang w:val="en-US"/>
              </w:rPr>
              <w:t xml:space="preserve"> cluster ties</w:t>
            </w:r>
          </w:p>
        </w:tc>
        <w:tc>
          <w:tcPr>
            <w:tcW w:w="993" w:type="dxa"/>
            <w:tcBorders>
              <w:left w:val="nil"/>
            </w:tcBorders>
            <w:shd w:val="clear" w:color="auto" w:fill="FFFFFF" w:themeFill="background1"/>
            <w:vAlign w:val="center"/>
          </w:tcPr>
          <w:p w14:paraId="517CEB4A"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BE_LU</w:t>
            </w:r>
          </w:p>
          <w:p w14:paraId="405B539E"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BE_NL</w:t>
            </w:r>
          </w:p>
          <w:p w14:paraId="5C8B7BA6" w14:textId="3399A95A" w:rsidR="00B6557F" w:rsidRPr="00B6557F" w:rsidRDefault="00B6557F"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p>
          <w:p w14:paraId="0AA3B728"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LU_NL</w:t>
            </w:r>
          </w:p>
          <w:p w14:paraId="7B399CC1" w14:textId="196AE50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NL</w:t>
            </w:r>
            <w:r w:rsidR="00B6557F" w:rsidRPr="00C3071E">
              <w:rPr>
                <w:color w:val="auto"/>
                <w:sz w:val="16"/>
                <w:szCs w:val="16"/>
                <w:lang w:val="en-US"/>
              </w:rPr>
              <w:t>_</w:t>
            </w:r>
            <w:r w:rsidRPr="00C3071E">
              <w:rPr>
                <w:color w:val="auto"/>
                <w:sz w:val="16"/>
                <w:szCs w:val="16"/>
                <w:lang w:val="en-US"/>
              </w:rPr>
              <w:t>CH</w:t>
            </w:r>
          </w:p>
        </w:tc>
        <w:tc>
          <w:tcPr>
            <w:tcW w:w="850" w:type="dxa"/>
            <w:shd w:val="clear" w:color="auto" w:fill="FFFFFF" w:themeFill="background1"/>
            <w:vAlign w:val="center"/>
          </w:tcPr>
          <w:p w14:paraId="4127EFD9" w14:textId="77777777" w:rsidR="00B6557F" w:rsidRPr="00B6557F" w:rsidRDefault="00B6557F"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CZ_LV</w:t>
            </w:r>
          </w:p>
          <w:p w14:paraId="6C3F92EB" w14:textId="2BE79F35" w:rsidR="002E6277" w:rsidRPr="00C3071E" w:rsidRDefault="00B6557F"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CZ_PL</w:t>
            </w:r>
            <w:r w:rsidRPr="00C3071E">
              <w:rPr>
                <w:color w:val="auto"/>
                <w:sz w:val="16"/>
                <w:szCs w:val="16"/>
                <w:lang w:val="en-US"/>
              </w:rPr>
              <w:t xml:space="preserve"> </w:t>
            </w:r>
            <w:r w:rsidR="002E6277" w:rsidRPr="00C3071E">
              <w:rPr>
                <w:color w:val="auto"/>
                <w:sz w:val="16"/>
                <w:szCs w:val="16"/>
                <w:lang w:val="en-US"/>
              </w:rPr>
              <w:t>LV_PL</w:t>
            </w:r>
          </w:p>
          <w:p w14:paraId="7CDB0949" w14:textId="00A2C2F6"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1276" w:type="dxa"/>
            <w:shd w:val="clear" w:color="auto" w:fill="FFFFFF" w:themeFill="background1"/>
            <w:vAlign w:val="center"/>
          </w:tcPr>
          <w:p w14:paraId="7A003857"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DK_IE</w:t>
            </w:r>
          </w:p>
          <w:p w14:paraId="757E6780"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DK_NO</w:t>
            </w:r>
          </w:p>
          <w:p w14:paraId="0D558A1F"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DK_SE</w:t>
            </w:r>
          </w:p>
          <w:p w14:paraId="25A07B0A"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IE_NO</w:t>
            </w:r>
          </w:p>
          <w:p w14:paraId="189CF5D1"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IE_SE</w:t>
            </w:r>
          </w:p>
          <w:p w14:paraId="588F1BD4"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NO_SE</w:t>
            </w:r>
          </w:p>
        </w:tc>
        <w:tc>
          <w:tcPr>
            <w:tcW w:w="425" w:type="dxa"/>
            <w:shd w:val="clear" w:color="auto" w:fill="FFFFFF" w:themeFill="background1"/>
            <w:vAlign w:val="center"/>
          </w:tcPr>
          <w:p w14:paraId="052B8A1B"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709" w:type="dxa"/>
            <w:shd w:val="clear" w:color="auto" w:fill="FFFFFF" w:themeFill="background1"/>
            <w:vAlign w:val="center"/>
          </w:tcPr>
          <w:p w14:paraId="725DEB79" w14:textId="035293FA"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rPr>
              <w:t>FI_DE</w:t>
            </w:r>
          </w:p>
        </w:tc>
        <w:tc>
          <w:tcPr>
            <w:tcW w:w="851" w:type="dxa"/>
            <w:shd w:val="clear" w:color="auto" w:fill="FFFFFF" w:themeFill="background1"/>
            <w:vAlign w:val="center"/>
          </w:tcPr>
          <w:p w14:paraId="181F6D9B"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ES_US</w:t>
            </w:r>
          </w:p>
        </w:tc>
        <w:tc>
          <w:tcPr>
            <w:tcW w:w="708" w:type="dxa"/>
            <w:shd w:val="clear" w:color="auto" w:fill="FFFFFF" w:themeFill="background1"/>
            <w:vAlign w:val="center"/>
          </w:tcPr>
          <w:p w14:paraId="08BC9579"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JP_KR</w:t>
            </w:r>
          </w:p>
        </w:tc>
        <w:tc>
          <w:tcPr>
            <w:tcW w:w="567" w:type="dxa"/>
            <w:shd w:val="clear" w:color="auto" w:fill="FFFFFF" w:themeFill="background1"/>
            <w:vAlign w:val="center"/>
          </w:tcPr>
          <w:p w14:paraId="45BF0558"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736" w:type="dxa"/>
            <w:shd w:val="clear" w:color="auto" w:fill="FFFFFF" w:themeFill="background1"/>
            <w:vAlign w:val="center"/>
          </w:tcPr>
          <w:p w14:paraId="4C3CD843" w14:textId="77777777" w:rsidR="002E6277" w:rsidRPr="00C3071E" w:rsidRDefault="002E6277" w:rsidP="00C3071E">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2E6277" w:rsidRPr="007A31D0" w14:paraId="1CD166CA" w14:textId="77777777" w:rsidTr="000442E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6EF7CF2" w14:textId="77777777" w:rsidR="00C3071E" w:rsidRDefault="00C3071E" w:rsidP="00AC77D4">
            <w:pPr>
              <w:spacing w:line="276" w:lineRule="auto"/>
              <w:rPr>
                <w:color w:val="auto"/>
                <w:sz w:val="16"/>
                <w:szCs w:val="16"/>
                <w:lang w:val="en-US"/>
              </w:rPr>
            </w:pPr>
            <w:r>
              <w:rPr>
                <w:b w:val="0"/>
                <w:bCs w:val="0"/>
                <w:caps w:val="0"/>
                <w:color w:val="auto"/>
                <w:sz w:val="16"/>
                <w:szCs w:val="16"/>
                <w:lang w:val="en-US"/>
              </w:rPr>
              <w:t>#</w:t>
            </w:r>
            <w:r w:rsidR="002E6277" w:rsidRPr="00C3071E">
              <w:rPr>
                <w:b w:val="0"/>
                <w:bCs w:val="0"/>
                <w:caps w:val="0"/>
                <w:color w:val="auto"/>
                <w:sz w:val="16"/>
                <w:szCs w:val="16"/>
                <w:lang w:val="en-US"/>
              </w:rPr>
              <w:t xml:space="preserve"> of ties in </w:t>
            </w:r>
          </w:p>
          <w:p w14:paraId="453E1C1E" w14:textId="05AFDE4A" w:rsidR="002E6277" w:rsidRPr="00C3071E" w:rsidRDefault="002E6277" w:rsidP="00AC77D4">
            <w:pPr>
              <w:spacing w:line="276" w:lineRule="auto"/>
              <w:rPr>
                <w:color w:val="auto"/>
                <w:sz w:val="16"/>
                <w:szCs w:val="16"/>
                <w:lang w:val="en-US"/>
              </w:rPr>
            </w:pPr>
            <w:r w:rsidRPr="00C3071E">
              <w:rPr>
                <w:b w:val="0"/>
                <w:bCs w:val="0"/>
                <w:caps w:val="0"/>
                <w:color w:val="auto"/>
                <w:sz w:val="16"/>
                <w:szCs w:val="16"/>
                <w:lang w:val="en-US"/>
              </w:rPr>
              <w:t>full cluster</w:t>
            </w:r>
          </w:p>
        </w:tc>
        <w:tc>
          <w:tcPr>
            <w:tcW w:w="993" w:type="dxa"/>
            <w:tcBorders>
              <w:left w:val="nil"/>
              <w:bottom w:val="single" w:sz="12" w:space="0" w:color="auto"/>
            </w:tcBorders>
            <w:shd w:val="clear" w:color="auto" w:fill="FFFFFF" w:themeFill="background1"/>
            <w:vAlign w:val="center"/>
          </w:tcPr>
          <w:p w14:paraId="7AC992BF" w14:textId="5E5331C0"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r w:rsidR="00B6557F" w:rsidRPr="00C3071E">
              <w:rPr>
                <w:color w:val="auto"/>
                <w:sz w:val="16"/>
                <w:szCs w:val="16"/>
                <w:lang w:val="en-US"/>
              </w:rPr>
              <w:t>/</w:t>
            </w:r>
            <w:r w:rsidRPr="00C3071E">
              <w:rPr>
                <w:color w:val="auto"/>
                <w:sz w:val="16"/>
                <w:szCs w:val="16"/>
                <w:lang w:val="en-US"/>
              </w:rPr>
              <w:t>10</w:t>
            </w:r>
          </w:p>
        </w:tc>
        <w:tc>
          <w:tcPr>
            <w:tcW w:w="850" w:type="dxa"/>
            <w:tcBorders>
              <w:bottom w:val="single" w:sz="12" w:space="0" w:color="auto"/>
            </w:tcBorders>
            <w:shd w:val="clear" w:color="auto" w:fill="FFFFFF" w:themeFill="background1"/>
            <w:vAlign w:val="center"/>
          </w:tcPr>
          <w:p w14:paraId="220FA026" w14:textId="33152F1A"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3</w:t>
            </w:r>
            <w:r w:rsidR="00B6557F" w:rsidRPr="00C3071E">
              <w:rPr>
                <w:color w:val="auto"/>
                <w:sz w:val="16"/>
                <w:szCs w:val="16"/>
                <w:lang w:val="en-US"/>
              </w:rPr>
              <w:t>/</w:t>
            </w:r>
            <w:r w:rsidRPr="00C3071E">
              <w:rPr>
                <w:color w:val="auto"/>
                <w:sz w:val="16"/>
                <w:szCs w:val="16"/>
                <w:lang w:val="en-US"/>
              </w:rPr>
              <w:t>3</w:t>
            </w:r>
          </w:p>
        </w:tc>
        <w:tc>
          <w:tcPr>
            <w:tcW w:w="1276" w:type="dxa"/>
            <w:tcBorders>
              <w:bottom w:val="single" w:sz="12" w:space="0" w:color="auto"/>
            </w:tcBorders>
            <w:shd w:val="clear" w:color="auto" w:fill="FFFFFF" w:themeFill="background1"/>
            <w:vAlign w:val="center"/>
          </w:tcPr>
          <w:p w14:paraId="4C7FA7E6" w14:textId="78CBEE4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6</w:t>
            </w:r>
            <w:r w:rsidR="00C3071E" w:rsidRPr="00C3071E">
              <w:rPr>
                <w:color w:val="auto"/>
                <w:sz w:val="16"/>
                <w:szCs w:val="16"/>
                <w:lang w:val="en-US"/>
              </w:rPr>
              <w:t>/</w:t>
            </w:r>
            <w:r w:rsidRPr="00C3071E">
              <w:rPr>
                <w:color w:val="auto"/>
                <w:sz w:val="16"/>
                <w:szCs w:val="16"/>
                <w:lang w:val="en-US"/>
              </w:rPr>
              <w:t>6</w:t>
            </w:r>
          </w:p>
        </w:tc>
        <w:tc>
          <w:tcPr>
            <w:tcW w:w="425" w:type="dxa"/>
            <w:tcBorders>
              <w:bottom w:val="single" w:sz="12" w:space="0" w:color="auto"/>
            </w:tcBorders>
            <w:shd w:val="clear" w:color="auto" w:fill="FFFFFF" w:themeFill="background1"/>
            <w:vAlign w:val="center"/>
          </w:tcPr>
          <w:p w14:paraId="5858F114"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709" w:type="dxa"/>
            <w:tcBorders>
              <w:bottom w:val="single" w:sz="12" w:space="0" w:color="auto"/>
            </w:tcBorders>
            <w:shd w:val="clear" w:color="auto" w:fill="FFFFFF" w:themeFill="background1"/>
            <w:vAlign w:val="center"/>
          </w:tcPr>
          <w:p w14:paraId="672573E4" w14:textId="6A9EC21C"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w:t>
            </w:r>
            <w:r w:rsidR="00C3071E" w:rsidRPr="00C3071E">
              <w:rPr>
                <w:color w:val="auto"/>
                <w:sz w:val="16"/>
                <w:szCs w:val="16"/>
                <w:lang w:val="en-US"/>
              </w:rPr>
              <w:t>/</w:t>
            </w:r>
            <w:r w:rsidRPr="00C3071E">
              <w:rPr>
                <w:color w:val="auto"/>
                <w:sz w:val="16"/>
                <w:szCs w:val="16"/>
                <w:lang w:val="en-US"/>
              </w:rPr>
              <w:t>1</w:t>
            </w:r>
          </w:p>
        </w:tc>
        <w:tc>
          <w:tcPr>
            <w:tcW w:w="851" w:type="dxa"/>
            <w:tcBorders>
              <w:bottom w:val="single" w:sz="12" w:space="0" w:color="auto"/>
            </w:tcBorders>
            <w:shd w:val="clear" w:color="auto" w:fill="FFFFFF" w:themeFill="background1"/>
            <w:vAlign w:val="center"/>
          </w:tcPr>
          <w:p w14:paraId="22DBD3B0" w14:textId="25CC65E3"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9</w:t>
            </w:r>
            <w:r w:rsidR="00C3071E" w:rsidRPr="00C3071E">
              <w:rPr>
                <w:color w:val="auto"/>
                <w:sz w:val="16"/>
                <w:szCs w:val="16"/>
                <w:lang w:val="en-US"/>
              </w:rPr>
              <w:t>/</w:t>
            </w:r>
            <w:r w:rsidRPr="00C3071E">
              <w:rPr>
                <w:color w:val="auto"/>
                <w:sz w:val="16"/>
                <w:szCs w:val="16"/>
                <w:lang w:val="en-US"/>
              </w:rPr>
              <w:t>10</w:t>
            </w:r>
          </w:p>
        </w:tc>
        <w:tc>
          <w:tcPr>
            <w:tcW w:w="708" w:type="dxa"/>
            <w:tcBorders>
              <w:bottom w:val="single" w:sz="12" w:space="0" w:color="auto"/>
            </w:tcBorders>
            <w:shd w:val="clear" w:color="auto" w:fill="FFFFFF" w:themeFill="background1"/>
            <w:vAlign w:val="center"/>
          </w:tcPr>
          <w:p w14:paraId="6654C2F4" w14:textId="5D78E804"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w:t>
            </w:r>
            <w:r w:rsidR="00C3071E" w:rsidRPr="00C3071E">
              <w:rPr>
                <w:color w:val="auto"/>
                <w:sz w:val="16"/>
                <w:szCs w:val="16"/>
                <w:lang w:val="en-US"/>
              </w:rPr>
              <w:t>/</w:t>
            </w:r>
            <w:r w:rsidRPr="00C3071E">
              <w:rPr>
                <w:color w:val="auto"/>
                <w:sz w:val="16"/>
                <w:szCs w:val="16"/>
                <w:lang w:val="en-US"/>
              </w:rPr>
              <w:t>1</w:t>
            </w:r>
          </w:p>
        </w:tc>
        <w:tc>
          <w:tcPr>
            <w:tcW w:w="567" w:type="dxa"/>
            <w:tcBorders>
              <w:bottom w:val="single" w:sz="12" w:space="0" w:color="auto"/>
            </w:tcBorders>
            <w:shd w:val="clear" w:color="auto" w:fill="FFFFFF" w:themeFill="background1"/>
            <w:vAlign w:val="center"/>
          </w:tcPr>
          <w:p w14:paraId="5CC7F76F" w14:textId="77777777"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736" w:type="dxa"/>
            <w:tcBorders>
              <w:bottom w:val="single" w:sz="12" w:space="0" w:color="auto"/>
            </w:tcBorders>
            <w:shd w:val="clear" w:color="auto" w:fill="FFFFFF" w:themeFill="background1"/>
            <w:vAlign w:val="center"/>
          </w:tcPr>
          <w:p w14:paraId="7E6C53A2" w14:textId="31BDEA51" w:rsidR="002E6277" w:rsidRPr="00C3071E" w:rsidRDefault="002E6277" w:rsidP="00C3071E">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w:t>
            </w:r>
            <w:r w:rsidR="00C3071E" w:rsidRPr="00C3071E">
              <w:rPr>
                <w:color w:val="auto"/>
                <w:sz w:val="16"/>
                <w:szCs w:val="16"/>
                <w:lang w:val="en-US"/>
              </w:rPr>
              <w:t>/</w:t>
            </w:r>
            <w:r w:rsidRPr="00C3071E">
              <w:rPr>
                <w:color w:val="auto"/>
                <w:sz w:val="16"/>
                <w:szCs w:val="16"/>
                <w:lang w:val="en-US"/>
              </w:rPr>
              <w:t>1</w:t>
            </w:r>
          </w:p>
        </w:tc>
      </w:tr>
    </w:tbl>
    <w:p w14:paraId="501BC8DD" w14:textId="77777777" w:rsidR="00D67B4C" w:rsidRDefault="00D67B4C" w:rsidP="002A4B22">
      <w:pPr>
        <w:spacing w:after="160" w:line="259" w:lineRule="auto"/>
        <w:rPr>
          <w:rFonts w:eastAsiaTheme="minorHAnsi"/>
          <w:iCs/>
          <w:color w:val="auto"/>
          <w:szCs w:val="18"/>
          <w:lang w:val="en-US"/>
        </w:rPr>
      </w:pPr>
    </w:p>
    <w:p w14:paraId="5956AB20" w14:textId="77777777" w:rsidR="00CB225A" w:rsidRDefault="00AC77D4" w:rsidP="00B6557F">
      <w:pPr>
        <w:spacing w:after="160" w:line="360" w:lineRule="auto"/>
        <w:jc w:val="both"/>
        <w:rPr>
          <w:rFonts w:eastAsiaTheme="minorHAnsi"/>
          <w:iCs/>
          <w:color w:val="auto"/>
          <w:szCs w:val="18"/>
          <w:lang w:val="en-US"/>
        </w:rPr>
      </w:pPr>
      <w:r w:rsidRPr="00B6557F">
        <w:rPr>
          <w:rFonts w:eastAsiaTheme="minorHAnsi"/>
          <w:iCs/>
          <w:color w:val="auto"/>
          <w:szCs w:val="18"/>
          <w:lang w:val="en-US"/>
        </w:rPr>
        <w:t>A</w:t>
      </w:r>
      <w:r>
        <w:rPr>
          <w:rFonts w:eastAsiaTheme="minorHAnsi"/>
          <w:iCs/>
          <w:color w:val="auto"/>
          <w:szCs w:val="18"/>
          <w:lang w:val="en-US"/>
        </w:rPr>
        <w:t xml:space="preserve"> solution of nine clusters, with several small clusters might not be feasible for most purposes. Hence, the clusters can be condensed based on their partial memberships. </w:t>
      </w:r>
      <w:r w:rsidR="00F54FBA">
        <w:rPr>
          <w:rFonts w:eastAsiaTheme="minorHAnsi"/>
          <w:iCs/>
          <w:color w:val="auto"/>
          <w:szCs w:val="18"/>
          <w:lang w:val="en-US"/>
        </w:rPr>
        <w:t>Figure 1 show</w:t>
      </w:r>
      <w:r w:rsidR="00CB225A">
        <w:rPr>
          <w:rFonts w:eastAsiaTheme="minorHAnsi"/>
          <w:iCs/>
          <w:color w:val="auto"/>
          <w:szCs w:val="18"/>
          <w:lang w:val="en-US"/>
        </w:rPr>
        <w:t>s</w:t>
      </w:r>
      <w:r w:rsidR="00F54FBA">
        <w:rPr>
          <w:rFonts w:eastAsiaTheme="minorHAnsi"/>
          <w:iCs/>
          <w:color w:val="auto"/>
          <w:szCs w:val="18"/>
          <w:lang w:val="en-US"/>
        </w:rPr>
        <w:t xml:space="preserve"> g</w:t>
      </w:r>
      <w:r w:rsidR="00CB225A">
        <w:rPr>
          <w:rFonts w:eastAsiaTheme="minorHAnsi"/>
          <w:iCs/>
          <w:color w:val="auto"/>
          <w:szCs w:val="18"/>
          <w:lang w:val="en-US"/>
        </w:rPr>
        <w:t>raphically four distinct groups. Each country in those four clusters</w:t>
      </w:r>
      <w:r w:rsidR="00F54FBA">
        <w:rPr>
          <w:rFonts w:eastAsiaTheme="minorHAnsi"/>
          <w:iCs/>
          <w:color w:val="auto"/>
          <w:szCs w:val="18"/>
          <w:lang w:val="en-US"/>
        </w:rPr>
        <w:t xml:space="preserve"> </w:t>
      </w:r>
      <w:r w:rsidR="00F54FBA">
        <w:rPr>
          <w:rFonts w:eastAsiaTheme="minorHAnsi"/>
          <w:iCs/>
          <w:color w:val="auto"/>
          <w:szCs w:val="18"/>
          <w:lang w:val="en-US"/>
        </w:rPr>
        <w:lastRenderedPageBreak/>
        <w:t>can</w:t>
      </w:r>
      <w:r w:rsidR="00CB225A">
        <w:rPr>
          <w:rFonts w:eastAsiaTheme="minorHAnsi"/>
          <w:iCs/>
          <w:color w:val="auto"/>
          <w:szCs w:val="18"/>
          <w:lang w:val="en-US"/>
        </w:rPr>
        <w:t>not</w:t>
      </w:r>
      <w:r w:rsidR="00F54FBA">
        <w:rPr>
          <w:rFonts w:eastAsiaTheme="minorHAnsi"/>
          <w:iCs/>
          <w:color w:val="auto"/>
          <w:szCs w:val="18"/>
          <w:lang w:val="en-US"/>
        </w:rPr>
        <w:t xml:space="preserve"> be found together in </w:t>
      </w:r>
      <w:r w:rsidR="00CB225A">
        <w:rPr>
          <w:rFonts w:eastAsiaTheme="minorHAnsi"/>
          <w:iCs/>
          <w:color w:val="auto"/>
          <w:szCs w:val="18"/>
          <w:lang w:val="en-US"/>
        </w:rPr>
        <w:t xml:space="preserve">more than </w:t>
      </w:r>
      <w:r w:rsidR="00F54FBA">
        <w:rPr>
          <w:rFonts w:eastAsiaTheme="minorHAnsi"/>
          <w:iCs/>
          <w:color w:val="auto"/>
          <w:szCs w:val="18"/>
          <w:lang w:val="en-US"/>
        </w:rPr>
        <w:t>50% of all cluster solutions</w:t>
      </w:r>
      <w:r w:rsidR="00CB225A">
        <w:rPr>
          <w:rFonts w:eastAsiaTheme="minorHAnsi"/>
          <w:iCs/>
          <w:color w:val="auto"/>
          <w:szCs w:val="18"/>
          <w:lang w:val="en-US"/>
        </w:rPr>
        <w:t xml:space="preserve"> with a country of </w:t>
      </w:r>
      <w:proofErr w:type="spellStart"/>
      <w:proofErr w:type="gramStart"/>
      <w:r w:rsidR="00CB225A">
        <w:rPr>
          <w:rFonts w:eastAsiaTheme="minorHAnsi"/>
          <w:iCs/>
          <w:color w:val="auto"/>
          <w:szCs w:val="18"/>
          <w:lang w:val="en-US"/>
        </w:rPr>
        <w:t>an other</w:t>
      </w:r>
      <w:proofErr w:type="spellEnd"/>
      <w:proofErr w:type="gramEnd"/>
      <w:r w:rsidR="00CB225A">
        <w:rPr>
          <w:rFonts w:eastAsiaTheme="minorHAnsi"/>
          <w:iCs/>
          <w:color w:val="auto"/>
          <w:szCs w:val="18"/>
          <w:lang w:val="en-US"/>
        </w:rPr>
        <w:t xml:space="preserve"> cluster</w:t>
      </w:r>
      <w:r w:rsidR="00F54FBA">
        <w:rPr>
          <w:rFonts w:eastAsiaTheme="minorHAnsi"/>
          <w:iCs/>
          <w:color w:val="auto"/>
          <w:szCs w:val="18"/>
          <w:lang w:val="en-US"/>
        </w:rPr>
        <w:t>.</w:t>
      </w:r>
      <w:r w:rsidR="00CB225A">
        <w:rPr>
          <w:rFonts w:eastAsiaTheme="minorHAnsi"/>
          <w:iCs/>
          <w:color w:val="auto"/>
          <w:szCs w:val="18"/>
          <w:lang w:val="en-US"/>
        </w:rPr>
        <w:t xml:space="preserve"> This shows that the four clusters are distinct from each other.</w:t>
      </w:r>
    </w:p>
    <w:p w14:paraId="0CC36CC5" w14:textId="22FC153A" w:rsidR="008447C6" w:rsidRDefault="00CB225A" w:rsidP="00B6557F">
      <w:pPr>
        <w:spacing w:after="160" w:line="360" w:lineRule="auto"/>
        <w:jc w:val="both"/>
        <w:rPr>
          <w:rFonts w:eastAsiaTheme="minorHAnsi"/>
          <w:iCs/>
          <w:color w:val="auto"/>
          <w:szCs w:val="18"/>
          <w:lang w:val="en-US"/>
        </w:rPr>
      </w:pPr>
      <w:r>
        <w:rPr>
          <w:rFonts w:eastAsiaTheme="minorHAnsi"/>
          <w:iCs/>
          <w:color w:val="auto"/>
          <w:szCs w:val="18"/>
          <w:lang w:val="en-US"/>
        </w:rPr>
        <w:t xml:space="preserve">The </w:t>
      </w:r>
      <w:r w:rsidR="008447C6">
        <w:rPr>
          <w:rFonts w:eastAsiaTheme="minorHAnsi"/>
          <w:iCs/>
          <w:color w:val="auto"/>
          <w:szCs w:val="18"/>
          <w:lang w:val="en-US"/>
        </w:rPr>
        <w:t>supply and performa</w:t>
      </w:r>
      <w:r w:rsidR="00835F65">
        <w:rPr>
          <w:rFonts w:eastAsiaTheme="minorHAnsi"/>
          <w:iCs/>
          <w:color w:val="auto"/>
          <w:szCs w:val="18"/>
          <w:lang w:val="en-US"/>
        </w:rPr>
        <w:t>n</w:t>
      </w:r>
      <w:r w:rsidR="008447C6">
        <w:rPr>
          <w:rFonts w:eastAsiaTheme="minorHAnsi"/>
          <w:iCs/>
          <w:color w:val="auto"/>
          <w:szCs w:val="18"/>
          <w:lang w:val="en-US"/>
        </w:rPr>
        <w:t>ce oriented public systems</w:t>
      </w:r>
    </w:p>
    <w:p w14:paraId="52FE749E" w14:textId="2AF3B184" w:rsidR="008447C6" w:rsidRDefault="008447C6" w:rsidP="00B6557F">
      <w:pPr>
        <w:spacing w:after="160" w:line="360" w:lineRule="auto"/>
        <w:jc w:val="both"/>
        <w:rPr>
          <w:rFonts w:eastAsiaTheme="minorHAnsi"/>
          <w:iCs/>
          <w:color w:val="auto"/>
          <w:szCs w:val="18"/>
          <w:lang w:val="en-US"/>
        </w:rPr>
      </w:pPr>
      <w:r>
        <w:rPr>
          <w:rFonts w:eastAsiaTheme="minorHAnsi"/>
          <w:iCs/>
          <w:color w:val="auto"/>
          <w:szCs w:val="18"/>
          <w:lang w:val="en-US"/>
        </w:rPr>
        <w:t>The supply and performa</w:t>
      </w:r>
      <w:r w:rsidR="00835F65">
        <w:rPr>
          <w:rFonts w:eastAsiaTheme="minorHAnsi"/>
          <w:iCs/>
          <w:color w:val="auto"/>
          <w:szCs w:val="18"/>
          <w:lang w:val="en-US"/>
        </w:rPr>
        <w:t>n</w:t>
      </w:r>
      <w:r>
        <w:rPr>
          <w:rFonts w:eastAsiaTheme="minorHAnsi"/>
          <w:iCs/>
          <w:color w:val="auto"/>
          <w:szCs w:val="18"/>
          <w:lang w:val="en-US"/>
        </w:rPr>
        <w:t>ce oriented mixed systems</w:t>
      </w:r>
    </w:p>
    <w:p w14:paraId="11FB498D" w14:textId="77777777" w:rsidR="008447C6" w:rsidRDefault="008447C6" w:rsidP="00B6557F">
      <w:pPr>
        <w:spacing w:after="160" w:line="360" w:lineRule="auto"/>
        <w:jc w:val="both"/>
        <w:rPr>
          <w:rFonts w:eastAsiaTheme="minorHAnsi"/>
          <w:iCs/>
          <w:color w:val="auto"/>
          <w:szCs w:val="18"/>
          <w:lang w:val="en-US"/>
        </w:rPr>
      </w:pPr>
      <w:r>
        <w:rPr>
          <w:rFonts w:eastAsiaTheme="minorHAnsi"/>
          <w:iCs/>
          <w:color w:val="auto"/>
          <w:szCs w:val="18"/>
          <w:lang w:val="en-US"/>
        </w:rPr>
        <w:t>The access oriented private systems</w:t>
      </w:r>
    </w:p>
    <w:p w14:paraId="240946C1" w14:textId="5FCD9021" w:rsidR="00AC77D4" w:rsidRPr="00B6557F" w:rsidRDefault="008447C6" w:rsidP="00B6557F">
      <w:pPr>
        <w:spacing w:after="160" w:line="360" w:lineRule="auto"/>
        <w:jc w:val="both"/>
        <w:rPr>
          <w:rFonts w:eastAsiaTheme="minorHAnsi"/>
          <w:iCs/>
          <w:color w:val="auto"/>
          <w:szCs w:val="18"/>
          <w:lang w:val="en-US"/>
        </w:rPr>
      </w:pPr>
      <w:r>
        <w:rPr>
          <w:rFonts w:eastAsiaTheme="minorHAnsi"/>
          <w:iCs/>
          <w:color w:val="auto"/>
          <w:szCs w:val="18"/>
          <w:lang w:val="en-US"/>
        </w:rPr>
        <w:t>The low-supply and low performance mixed systems</w:t>
      </w:r>
      <w:r w:rsidR="00F54FBA">
        <w:rPr>
          <w:rFonts w:eastAsiaTheme="minorHAnsi"/>
          <w:iCs/>
          <w:color w:val="auto"/>
          <w:szCs w:val="18"/>
          <w:lang w:val="en-US"/>
        </w:rPr>
        <w:t xml:space="preserve"> </w:t>
      </w:r>
      <w:r w:rsidR="00AC77D4">
        <w:rPr>
          <w:rFonts w:eastAsiaTheme="minorHAnsi"/>
          <w:iCs/>
          <w:color w:val="auto"/>
          <w:szCs w:val="18"/>
          <w:lang w:val="en-US"/>
        </w:rPr>
        <w:t xml:space="preserve"> </w:t>
      </w:r>
    </w:p>
    <w:p w14:paraId="75E59E4A" w14:textId="77777777" w:rsidR="00AC77D4" w:rsidRDefault="00AC77D4" w:rsidP="00E028AA">
      <w:pPr>
        <w:spacing w:after="160" w:line="259" w:lineRule="auto"/>
        <w:jc w:val="center"/>
        <w:rPr>
          <w:rFonts w:eastAsiaTheme="minorHAnsi"/>
          <w:iCs/>
          <w:color w:val="auto"/>
          <w:szCs w:val="18"/>
          <w:highlight w:val="yellow"/>
          <w:lang w:val="en-US"/>
        </w:rPr>
      </w:pPr>
    </w:p>
    <w:p w14:paraId="3F033585" w14:textId="1F2552C9" w:rsidR="00E028AA" w:rsidRPr="002A4B22" w:rsidRDefault="00E028AA" w:rsidP="00E028AA">
      <w:pPr>
        <w:spacing w:after="160" w:line="259"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6094038B" w14:textId="2958C5A3" w:rsidR="002E274E" w:rsidRPr="006A56FF" w:rsidRDefault="002E274E" w:rsidP="002E274E">
      <w:pPr>
        <w:rPr>
          <w:lang w:val="en-US"/>
        </w:rPr>
      </w:pPr>
    </w:p>
    <w:p w14:paraId="4DA2C565" w14:textId="77777777" w:rsidR="002E274E" w:rsidRPr="006A56FF" w:rsidRDefault="002E274E" w:rsidP="002E274E">
      <w:pPr>
        <w:rPr>
          <w:lang w:val="en-US"/>
        </w:rPr>
      </w:pPr>
    </w:p>
    <w:p w14:paraId="31B9993B" w14:textId="1874B9A9" w:rsidR="002E6277" w:rsidRPr="002A4B22" w:rsidRDefault="002E274E" w:rsidP="002E6277">
      <w:pPr>
        <w:spacing w:after="160" w:line="259" w:lineRule="auto"/>
        <w:jc w:val="center"/>
        <w:rPr>
          <w:rFonts w:eastAsiaTheme="minorHAnsi"/>
          <w:iCs/>
          <w:color w:val="auto"/>
          <w:szCs w:val="18"/>
          <w:lang w:val="en-US"/>
        </w:rPr>
      </w:pPr>
      <w:r w:rsidRPr="006A56FF">
        <w:rPr>
          <w:szCs w:val="24"/>
          <w:lang w:val="en-US"/>
        </w:rPr>
        <w:br w:type="page"/>
      </w:r>
      <w:r w:rsidR="002E6277" w:rsidRPr="00E028AA">
        <w:rPr>
          <w:rFonts w:eastAsiaTheme="minorHAnsi"/>
          <w:iCs/>
          <w:color w:val="auto"/>
          <w:szCs w:val="18"/>
          <w:highlight w:val="yellow"/>
          <w:lang w:val="en-US"/>
        </w:rPr>
        <w:lastRenderedPageBreak/>
        <w:t xml:space="preserve">--- TABLE </w:t>
      </w:r>
      <w:r w:rsidR="002E6277">
        <w:rPr>
          <w:rFonts w:eastAsiaTheme="minorHAnsi"/>
          <w:iCs/>
          <w:color w:val="auto"/>
          <w:szCs w:val="18"/>
          <w:highlight w:val="yellow"/>
          <w:lang w:val="en-US"/>
        </w:rPr>
        <w:t>5</w:t>
      </w:r>
      <w:r w:rsidR="002E6277" w:rsidRPr="00E028AA">
        <w:rPr>
          <w:rFonts w:eastAsiaTheme="minorHAnsi"/>
          <w:iCs/>
          <w:color w:val="auto"/>
          <w:szCs w:val="18"/>
          <w:highlight w:val="yellow"/>
          <w:lang w:val="en-US"/>
        </w:rPr>
        <w:t xml:space="preserve"> ABOUT HERE ---</w:t>
      </w:r>
    </w:p>
    <w:p w14:paraId="28582721" w14:textId="563F51D9" w:rsidR="002E6277" w:rsidRDefault="002E6277" w:rsidP="002E6277">
      <w:pPr>
        <w:keepNext/>
        <w:spacing w:after="200"/>
        <w:rPr>
          <w:rFonts w:eastAsiaTheme="minorHAnsi"/>
          <w:iCs/>
          <w:color w:val="auto"/>
          <w:lang w:val="en-US"/>
        </w:rPr>
      </w:pPr>
      <w:r>
        <w:rPr>
          <w:rFonts w:eastAsiaTheme="minorHAnsi"/>
          <w:iCs/>
          <w:color w:val="auto"/>
          <w:lang w:val="en-US"/>
        </w:rPr>
        <w:t>Table 5</w:t>
      </w:r>
      <w:r w:rsidRPr="006914AC">
        <w:rPr>
          <w:rFonts w:eastAsiaTheme="minorHAnsi"/>
          <w:iCs/>
          <w:color w:val="auto"/>
          <w:lang w:val="en-US"/>
        </w:rPr>
        <w:t>: Overview of Cluster Labels and Characteristics</w:t>
      </w:r>
    </w:p>
    <w:tbl>
      <w:tblPr>
        <w:tblStyle w:val="EinfacheTabelle3"/>
        <w:tblW w:w="8505" w:type="dxa"/>
        <w:shd w:val="clear" w:color="auto" w:fill="FFFFFF" w:themeFill="background1"/>
        <w:tblLayout w:type="fixed"/>
        <w:tblLook w:val="04A0" w:firstRow="1" w:lastRow="0" w:firstColumn="1" w:lastColumn="0" w:noHBand="0" w:noVBand="1"/>
      </w:tblPr>
      <w:tblGrid>
        <w:gridCol w:w="1843"/>
        <w:gridCol w:w="1310"/>
        <w:gridCol w:w="1310"/>
        <w:gridCol w:w="1207"/>
        <w:gridCol w:w="894"/>
        <w:gridCol w:w="999"/>
        <w:gridCol w:w="942"/>
      </w:tblGrid>
      <w:tr w:rsidR="00B50006" w:rsidRPr="007A31D0" w14:paraId="0F64935A" w14:textId="77777777" w:rsidTr="009B4BEF">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58E1EF42" w14:textId="77777777" w:rsidR="00B50006" w:rsidRPr="007A31D0" w:rsidRDefault="00B50006" w:rsidP="00AC77D4">
            <w:pPr>
              <w:spacing w:line="276" w:lineRule="auto"/>
              <w:rPr>
                <w:b w:val="0"/>
                <w:bCs w:val="0"/>
                <w:caps w:val="0"/>
                <w:sz w:val="20"/>
                <w:szCs w:val="20"/>
                <w:lang w:val="en-US"/>
              </w:rPr>
            </w:pPr>
          </w:p>
        </w:tc>
        <w:tc>
          <w:tcPr>
            <w:tcW w:w="1310" w:type="dxa"/>
            <w:tcBorders>
              <w:top w:val="single" w:sz="12" w:space="0" w:color="auto"/>
            </w:tcBorders>
            <w:shd w:val="clear" w:color="auto" w:fill="FFFFFF" w:themeFill="background1"/>
          </w:tcPr>
          <w:p w14:paraId="62BD0E23" w14:textId="56DFEB82"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1</w:t>
            </w:r>
          </w:p>
        </w:tc>
        <w:tc>
          <w:tcPr>
            <w:tcW w:w="1310" w:type="dxa"/>
            <w:tcBorders>
              <w:top w:val="single" w:sz="12" w:space="0" w:color="auto"/>
              <w:bottom w:val="single" w:sz="4" w:space="0" w:color="auto"/>
            </w:tcBorders>
            <w:shd w:val="clear" w:color="auto" w:fill="FFFFFF" w:themeFill="background1"/>
            <w:vAlign w:val="center"/>
          </w:tcPr>
          <w:p w14:paraId="6EA4A1BF" w14:textId="1C844FD1"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2</w:t>
            </w:r>
          </w:p>
        </w:tc>
        <w:tc>
          <w:tcPr>
            <w:tcW w:w="1207" w:type="dxa"/>
            <w:tcBorders>
              <w:top w:val="single" w:sz="12" w:space="0" w:color="auto"/>
              <w:bottom w:val="single" w:sz="4" w:space="0" w:color="auto"/>
            </w:tcBorders>
            <w:shd w:val="clear" w:color="auto" w:fill="FFFFFF" w:themeFill="background1"/>
          </w:tcPr>
          <w:p w14:paraId="290E2598" w14:textId="6BAABBC7"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w:t>
            </w:r>
          </w:p>
        </w:tc>
        <w:tc>
          <w:tcPr>
            <w:tcW w:w="894" w:type="dxa"/>
            <w:tcBorders>
              <w:top w:val="single" w:sz="12" w:space="0" w:color="auto"/>
              <w:bottom w:val="single" w:sz="4" w:space="0" w:color="auto"/>
            </w:tcBorders>
            <w:shd w:val="clear" w:color="auto" w:fill="FFFFFF" w:themeFill="background1"/>
            <w:vAlign w:val="center"/>
          </w:tcPr>
          <w:p w14:paraId="3CDE165F" w14:textId="6B19235F"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w:t>
            </w:r>
          </w:p>
        </w:tc>
        <w:tc>
          <w:tcPr>
            <w:tcW w:w="999" w:type="dxa"/>
            <w:tcBorders>
              <w:top w:val="single" w:sz="12" w:space="0" w:color="auto"/>
              <w:bottom w:val="single" w:sz="4" w:space="0" w:color="auto"/>
            </w:tcBorders>
            <w:shd w:val="clear" w:color="auto" w:fill="FFFFFF" w:themeFill="background1"/>
            <w:vAlign w:val="center"/>
          </w:tcPr>
          <w:p w14:paraId="2F0D0943" w14:textId="3C7DDF5F"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5</w:t>
            </w:r>
          </w:p>
        </w:tc>
        <w:tc>
          <w:tcPr>
            <w:tcW w:w="942" w:type="dxa"/>
            <w:tcBorders>
              <w:top w:val="single" w:sz="12" w:space="0" w:color="auto"/>
              <w:bottom w:val="single" w:sz="4" w:space="0" w:color="auto"/>
            </w:tcBorders>
            <w:shd w:val="clear" w:color="auto" w:fill="FFFFFF" w:themeFill="background1"/>
            <w:vAlign w:val="center"/>
          </w:tcPr>
          <w:p w14:paraId="22292582" w14:textId="44481EEA"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6</w:t>
            </w:r>
          </w:p>
        </w:tc>
      </w:tr>
      <w:tr w:rsidR="00B50006" w:rsidRPr="007A31D0" w14:paraId="55157CC9"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0759F91" w14:textId="77777777" w:rsidR="00B50006" w:rsidRPr="007A31D0" w:rsidRDefault="00B50006" w:rsidP="00B50006">
            <w:pPr>
              <w:spacing w:line="276" w:lineRule="auto"/>
              <w:rPr>
                <w:b w:val="0"/>
                <w:bCs w:val="0"/>
                <w:caps w:val="0"/>
                <w:sz w:val="20"/>
                <w:szCs w:val="20"/>
                <w:lang w:val="en-US"/>
              </w:rPr>
            </w:pPr>
            <w:r w:rsidRPr="00F13503">
              <w:rPr>
                <w:b w:val="0"/>
                <w:bCs w:val="0"/>
                <w:caps w:val="0"/>
                <w:sz w:val="20"/>
                <w:szCs w:val="20"/>
                <w:lang w:val="en-US"/>
              </w:rPr>
              <w:t>Cluster composition</w:t>
            </w:r>
          </w:p>
        </w:tc>
        <w:tc>
          <w:tcPr>
            <w:tcW w:w="1310" w:type="dxa"/>
            <w:shd w:val="clear" w:color="auto" w:fill="FFFFFF" w:themeFill="background1"/>
            <w:vAlign w:val="center"/>
          </w:tcPr>
          <w:p w14:paraId="2BCE71FA" w14:textId="58BF46B6"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31D0">
              <w:rPr>
                <w:sz w:val="20"/>
                <w:szCs w:val="20"/>
                <w:lang w:val="en-US"/>
              </w:rPr>
              <w:t>CZ, LV, PL</w:t>
            </w:r>
          </w:p>
        </w:tc>
        <w:tc>
          <w:tcPr>
            <w:tcW w:w="1310" w:type="dxa"/>
            <w:tcBorders>
              <w:top w:val="single" w:sz="4" w:space="0" w:color="auto"/>
              <w:bottom w:val="single" w:sz="4" w:space="0" w:color="auto"/>
            </w:tcBorders>
            <w:shd w:val="clear" w:color="auto" w:fill="FFFFFF" w:themeFill="background1"/>
            <w:vAlign w:val="center"/>
          </w:tcPr>
          <w:p w14:paraId="5B77362C" w14:textId="4DF89032"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FI</w:t>
            </w:r>
          </w:p>
        </w:tc>
        <w:tc>
          <w:tcPr>
            <w:tcW w:w="1207" w:type="dxa"/>
            <w:tcBorders>
              <w:top w:val="single" w:sz="4" w:space="0" w:color="auto"/>
              <w:bottom w:val="single" w:sz="4" w:space="0" w:color="auto"/>
            </w:tcBorders>
            <w:shd w:val="clear" w:color="auto" w:fill="FFFFFF" w:themeFill="background1"/>
            <w:vAlign w:val="center"/>
          </w:tcPr>
          <w:p w14:paraId="04B53047" w14:textId="092A1B20"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US"/>
              </w:rPr>
              <w:t>DK, IE, NO, SE</w:t>
            </w:r>
          </w:p>
        </w:tc>
        <w:tc>
          <w:tcPr>
            <w:tcW w:w="894" w:type="dxa"/>
            <w:tcBorders>
              <w:top w:val="single" w:sz="4" w:space="0" w:color="auto"/>
              <w:bottom w:val="single" w:sz="4" w:space="0" w:color="auto"/>
            </w:tcBorders>
            <w:shd w:val="clear" w:color="auto" w:fill="FFFFFF" w:themeFill="background1"/>
            <w:vAlign w:val="center"/>
          </w:tcPr>
          <w:p w14:paraId="07660E2E" w14:textId="2F5F49C2"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JP, KR</w:t>
            </w:r>
          </w:p>
        </w:tc>
        <w:tc>
          <w:tcPr>
            <w:tcW w:w="999" w:type="dxa"/>
            <w:tcBorders>
              <w:top w:val="single" w:sz="4" w:space="0" w:color="auto"/>
              <w:bottom w:val="single" w:sz="4" w:space="0" w:color="auto"/>
            </w:tcBorders>
            <w:shd w:val="clear" w:color="auto" w:fill="FFFFFF" w:themeFill="background1"/>
            <w:vAlign w:val="center"/>
          </w:tcPr>
          <w:p w14:paraId="713AA62B" w14:textId="7DA3D19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2038">
              <w:rPr>
                <w:sz w:val="16"/>
                <w:szCs w:val="16"/>
                <w:lang w:val="en-US"/>
              </w:rPr>
              <w:t>AU, BE, CH, LU, NL, S</w:t>
            </w:r>
            <w:r>
              <w:rPr>
                <w:sz w:val="16"/>
                <w:szCs w:val="16"/>
                <w:lang w:val="en-US"/>
              </w:rPr>
              <w:t>K, SI</w:t>
            </w:r>
          </w:p>
        </w:tc>
        <w:tc>
          <w:tcPr>
            <w:tcW w:w="942" w:type="dxa"/>
            <w:tcBorders>
              <w:top w:val="single" w:sz="4" w:space="0" w:color="auto"/>
              <w:bottom w:val="single" w:sz="4" w:space="0" w:color="auto"/>
            </w:tcBorders>
            <w:shd w:val="clear" w:color="auto" w:fill="FFFFFF" w:themeFill="background1"/>
            <w:vAlign w:val="center"/>
          </w:tcPr>
          <w:p w14:paraId="7205A6F2" w14:textId="529DB229" w:rsidR="00B50006" w:rsidRP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832038">
              <w:rPr>
                <w:sz w:val="16"/>
                <w:szCs w:val="16"/>
              </w:rPr>
              <w:t xml:space="preserve">EE, ES, FR, </w:t>
            </w:r>
            <w:proofErr w:type="gramStart"/>
            <w:r w:rsidRPr="00832038">
              <w:rPr>
                <w:sz w:val="16"/>
                <w:szCs w:val="16"/>
              </w:rPr>
              <w:t>IL,NZ</w:t>
            </w:r>
            <w:proofErr w:type="gramEnd"/>
            <w:r w:rsidRPr="00832038">
              <w:rPr>
                <w:sz w:val="16"/>
                <w:szCs w:val="16"/>
              </w:rPr>
              <w:t>, UK, US</w:t>
            </w:r>
          </w:p>
        </w:tc>
      </w:tr>
      <w:tr w:rsidR="00B50006" w:rsidRPr="007A087D" w14:paraId="3E886B54"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22908B09" w14:textId="77777777" w:rsidR="00B50006" w:rsidRDefault="00B50006" w:rsidP="00B50006">
            <w:pPr>
              <w:spacing w:line="276" w:lineRule="auto"/>
              <w:rPr>
                <w:sz w:val="20"/>
                <w:szCs w:val="20"/>
                <w:lang w:val="en-US"/>
              </w:rPr>
            </w:pPr>
            <w:r>
              <w:rPr>
                <w:b w:val="0"/>
                <w:bCs w:val="0"/>
                <w:caps w:val="0"/>
                <w:sz w:val="20"/>
                <w:szCs w:val="20"/>
                <w:lang w:val="en-US"/>
              </w:rPr>
              <w:t xml:space="preserve">Supply </w:t>
            </w:r>
          </w:p>
          <w:p w14:paraId="5BF96E9F" w14:textId="0D70FAFB" w:rsidR="00B50006" w:rsidRDefault="00B50006" w:rsidP="00B50006">
            <w:pPr>
              <w:spacing w:line="276" w:lineRule="auto"/>
              <w:ind w:firstLine="180"/>
              <w:rPr>
                <w:sz w:val="20"/>
                <w:szCs w:val="20"/>
                <w:lang w:val="en-US"/>
              </w:rPr>
            </w:pPr>
            <w:r>
              <w:rPr>
                <w:b w:val="0"/>
                <w:bCs w:val="0"/>
                <w:caps w:val="0"/>
                <w:sz w:val="20"/>
                <w:szCs w:val="20"/>
                <w:lang w:val="en-US"/>
              </w:rPr>
              <w:t>EXPD</w:t>
            </w:r>
          </w:p>
          <w:p w14:paraId="5C065084" w14:textId="3447FABA" w:rsidR="00B50006" w:rsidRDefault="00B50006" w:rsidP="00B50006">
            <w:pPr>
              <w:spacing w:line="276" w:lineRule="auto"/>
              <w:ind w:firstLine="180"/>
              <w:rPr>
                <w:sz w:val="20"/>
                <w:szCs w:val="20"/>
                <w:lang w:val="en-US"/>
              </w:rPr>
            </w:pPr>
            <w:r>
              <w:rPr>
                <w:b w:val="0"/>
                <w:bCs w:val="0"/>
                <w:caps w:val="0"/>
                <w:sz w:val="20"/>
                <w:szCs w:val="20"/>
                <w:lang w:val="en-US"/>
              </w:rPr>
              <w:t>BEDS</w:t>
            </w:r>
          </w:p>
          <w:p w14:paraId="3461192A" w14:textId="574FE3A0" w:rsidR="00B50006" w:rsidRPr="007A31D0" w:rsidRDefault="00B50006" w:rsidP="00B50006">
            <w:pPr>
              <w:spacing w:line="276" w:lineRule="auto"/>
              <w:ind w:firstLine="180"/>
              <w:rPr>
                <w:b w:val="0"/>
                <w:bCs w:val="0"/>
                <w:caps w:val="0"/>
                <w:sz w:val="20"/>
                <w:szCs w:val="20"/>
                <w:lang w:val="en-US"/>
              </w:rPr>
            </w:pPr>
            <w:r>
              <w:rPr>
                <w:b w:val="0"/>
                <w:bCs w:val="0"/>
                <w:caps w:val="0"/>
                <w:sz w:val="20"/>
                <w:szCs w:val="20"/>
                <w:lang w:val="en-US"/>
              </w:rPr>
              <w:t>RCPTIN</w:t>
            </w:r>
          </w:p>
        </w:tc>
        <w:tc>
          <w:tcPr>
            <w:tcW w:w="1310" w:type="dxa"/>
            <w:tcBorders>
              <w:top w:val="single" w:sz="4" w:space="0" w:color="auto"/>
            </w:tcBorders>
            <w:shd w:val="clear" w:color="auto" w:fill="FFFFFF" w:themeFill="background1"/>
            <w:vAlign w:val="center"/>
          </w:tcPr>
          <w:p w14:paraId="3D089C58"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E62A8D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9F44E3E"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D78801E" w14:textId="2C6A9051"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tcBorders>
              <w:top w:val="single" w:sz="4" w:space="0" w:color="auto"/>
            </w:tcBorders>
            <w:shd w:val="clear" w:color="auto" w:fill="FFFFFF" w:themeFill="background1"/>
            <w:vAlign w:val="center"/>
          </w:tcPr>
          <w:p w14:paraId="034EFE14"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875EA22" w14:textId="2B64E33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 xml:space="preserve">Medium </w:t>
            </w:r>
            <w:r w:rsidR="00C1373B">
              <w:rPr>
                <w:sz w:val="20"/>
                <w:szCs w:val="20"/>
                <w:lang w:val="en-US"/>
              </w:rPr>
              <w:t>High</w:t>
            </w:r>
          </w:p>
          <w:p w14:paraId="0C0F3A8D" w14:textId="456CD1D4"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207" w:type="dxa"/>
            <w:tcBorders>
              <w:top w:val="single" w:sz="4" w:space="0" w:color="auto"/>
            </w:tcBorders>
            <w:shd w:val="clear" w:color="auto" w:fill="FFFFFF" w:themeFill="background1"/>
            <w:vAlign w:val="center"/>
          </w:tcPr>
          <w:p w14:paraId="759D549D"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FC413A1"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6E9633B" w14:textId="77777777" w:rsidR="00C1373B"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30FA8A8F" w14:textId="26C944F1"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tcBorders>
              <w:top w:val="single" w:sz="4" w:space="0" w:color="auto"/>
            </w:tcBorders>
            <w:shd w:val="clear" w:color="auto" w:fill="FFFFFF" w:themeFill="background1"/>
            <w:vAlign w:val="center"/>
          </w:tcPr>
          <w:p w14:paraId="4BD3FAFC"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BB560BA" w14:textId="393BF28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3BCD642F" w14:textId="2DDC7F96"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3F45E1FA" w14:textId="226935A6"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99" w:type="dxa"/>
            <w:tcBorders>
              <w:top w:val="single" w:sz="4" w:space="0" w:color="auto"/>
            </w:tcBorders>
            <w:shd w:val="clear" w:color="auto" w:fill="FFFFFF" w:themeFill="background1"/>
            <w:vAlign w:val="center"/>
          </w:tcPr>
          <w:p w14:paraId="166C0883"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7DB08BA" w14:textId="59E73869" w:rsidR="00B50006"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0CDA43D6" w14:textId="631BCE0E"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6FB1AD8" w14:textId="1BD12DB6"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tcBorders>
              <w:top w:val="single" w:sz="4" w:space="0" w:color="auto"/>
            </w:tcBorders>
            <w:shd w:val="clear" w:color="auto" w:fill="FFFFFF" w:themeFill="background1"/>
            <w:vAlign w:val="center"/>
          </w:tcPr>
          <w:p w14:paraId="37CD4BF1"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58805599" w14:textId="50332E0D"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10C9C28" w14:textId="286F2F5F"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A41C74F" w14:textId="129A7D5F"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B50006" w:rsidRPr="007A31D0" w14:paraId="06F24CD6"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179A549" w14:textId="77777777" w:rsidR="00B50006" w:rsidRDefault="00B50006" w:rsidP="00B50006">
            <w:pPr>
              <w:spacing w:line="276" w:lineRule="auto"/>
              <w:rPr>
                <w:sz w:val="20"/>
                <w:szCs w:val="20"/>
                <w:lang w:val="en-US"/>
              </w:rPr>
            </w:pPr>
            <w:r>
              <w:rPr>
                <w:b w:val="0"/>
                <w:bCs w:val="0"/>
                <w:caps w:val="0"/>
                <w:sz w:val="20"/>
                <w:szCs w:val="20"/>
                <w:lang w:val="en-US"/>
              </w:rPr>
              <w:t>Public-Private Mix</w:t>
            </w:r>
          </w:p>
          <w:p w14:paraId="36FA24D8" w14:textId="77777777" w:rsidR="00B50006" w:rsidRDefault="00B50006" w:rsidP="00B50006">
            <w:pPr>
              <w:spacing w:line="276" w:lineRule="auto"/>
              <w:ind w:firstLine="179"/>
              <w:rPr>
                <w:sz w:val="20"/>
                <w:szCs w:val="20"/>
                <w:lang w:val="en-US"/>
              </w:rPr>
            </w:pPr>
            <w:r>
              <w:rPr>
                <w:b w:val="0"/>
                <w:bCs w:val="0"/>
                <w:caps w:val="0"/>
                <w:sz w:val="20"/>
                <w:szCs w:val="20"/>
                <w:lang w:val="en-US"/>
              </w:rPr>
              <w:t>PEXPND</w:t>
            </w:r>
          </w:p>
          <w:p w14:paraId="128A5966" w14:textId="28F17E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CASH</w:t>
            </w:r>
          </w:p>
        </w:tc>
        <w:tc>
          <w:tcPr>
            <w:tcW w:w="1310" w:type="dxa"/>
            <w:shd w:val="clear" w:color="auto" w:fill="FFFFFF" w:themeFill="background1"/>
            <w:vAlign w:val="center"/>
          </w:tcPr>
          <w:p w14:paraId="2AD1F372"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F2F4D91" w14:textId="717F6B1A"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w:t>
            </w:r>
            <w:r w:rsidR="00B50006">
              <w:rPr>
                <w:sz w:val="20"/>
                <w:szCs w:val="20"/>
                <w:lang w:val="en-US"/>
              </w:rPr>
              <w:t>ow</w:t>
            </w:r>
          </w:p>
          <w:p w14:paraId="0B1BD96F" w14:textId="72F28CD9"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B50006" w:rsidRPr="007A087D">
              <w:rPr>
                <w:sz w:val="20"/>
                <w:szCs w:val="20"/>
                <w:lang w:val="en-US"/>
              </w:rPr>
              <w:t>ed</w:t>
            </w:r>
            <w:r w:rsidR="009B4BEF">
              <w:rPr>
                <w:sz w:val="20"/>
                <w:szCs w:val="20"/>
                <w:lang w:val="en-US"/>
              </w:rPr>
              <w:t>ium</w:t>
            </w:r>
          </w:p>
        </w:tc>
        <w:tc>
          <w:tcPr>
            <w:tcW w:w="1310" w:type="dxa"/>
            <w:shd w:val="clear" w:color="auto" w:fill="FFFFFF" w:themeFill="background1"/>
            <w:vAlign w:val="center"/>
          </w:tcPr>
          <w:p w14:paraId="4F03379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5F388E5E" w14:textId="7A892516"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0945666" w14:textId="54E72C44" w:rsidR="00B50006"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9B4BEF">
              <w:rPr>
                <w:sz w:val="20"/>
                <w:szCs w:val="20"/>
                <w:lang w:val="en-US"/>
              </w:rPr>
              <w:t>edium</w:t>
            </w:r>
          </w:p>
        </w:tc>
        <w:tc>
          <w:tcPr>
            <w:tcW w:w="1207" w:type="dxa"/>
            <w:shd w:val="clear" w:color="auto" w:fill="FFFFFF" w:themeFill="background1"/>
            <w:vAlign w:val="center"/>
          </w:tcPr>
          <w:p w14:paraId="16F2A091"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5619C64" w14:textId="7506A71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6C154658" w14:textId="6CB99C64"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shd w:val="clear" w:color="auto" w:fill="FFFFFF" w:themeFill="background1"/>
            <w:vAlign w:val="center"/>
          </w:tcPr>
          <w:p w14:paraId="19124827"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69DD84F" w14:textId="3F902CC5"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35C377AC" w14:textId="147AA7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18A1CBA2"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32D076C0" w14:textId="6D66B7B0"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6D2DB8D" w14:textId="6C89248F"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349F90C6"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4275AFD" w14:textId="120DC086"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23D7071" w14:textId="06EAFA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r>
      <w:tr w:rsidR="00B50006" w:rsidRPr="007A31D0" w14:paraId="203E427B"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B95010" w14:textId="4736C930" w:rsidR="00B50006" w:rsidRDefault="00B50006" w:rsidP="00B50006">
            <w:pPr>
              <w:spacing w:line="276" w:lineRule="auto"/>
              <w:rPr>
                <w:sz w:val="20"/>
                <w:szCs w:val="20"/>
                <w:lang w:val="en-US"/>
              </w:rPr>
            </w:pPr>
            <w:proofErr w:type="spellStart"/>
            <w:r>
              <w:rPr>
                <w:b w:val="0"/>
                <w:bCs w:val="0"/>
                <w:caps w:val="0"/>
                <w:sz w:val="20"/>
                <w:szCs w:val="20"/>
                <w:lang w:val="en-US"/>
              </w:rPr>
              <w:t>Peformance</w:t>
            </w:r>
            <w:proofErr w:type="spellEnd"/>
          </w:p>
          <w:p w14:paraId="1034DD47" w14:textId="77777777" w:rsidR="00B50006" w:rsidRDefault="00B50006" w:rsidP="00B50006">
            <w:pPr>
              <w:spacing w:line="276" w:lineRule="auto"/>
              <w:ind w:firstLine="179"/>
              <w:rPr>
                <w:sz w:val="20"/>
                <w:szCs w:val="20"/>
                <w:lang w:val="en-US"/>
              </w:rPr>
            </w:pPr>
            <w:r>
              <w:rPr>
                <w:b w:val="0"/>
                <w:bCs w:val="0"/>
                <w:caps w:val="0"/>
                <w:sz w:val="20"/>
                <w:szCs w:val="20"/>
                <w:lang w:val="en-US"/>
              </w:rPr>
              <w:t>LEX</w:t>
            </w:r>
          </w:p>
          <w:p w14:paraId="187A5F90" w14:textId="59121C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SPH</w:t>
            </w:r>
          </w:p>
        </w:tc>
        <w:tc>
          <w:tcPr>
            <w:tcW w:w="1310" w:type="dxa"/>
            <w:shd w:val="clear" w:color="auto" w:fill="FFFFFF" w:themeFill="background1"/>
            <w:vAlign w:val="center"/>
          </w:tcPr>
          <w:p w14:paraId="3DC38CF7"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912D3" w14:textId="1BD10BEF"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F6CA1AA" w14:textId="02B41EBE"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shd w:val="clear" w:color="auto" w:fill="FFFFFF" w:themeFill="background1"/>
            <w:vAlign w:val="center"/>
          </w:tcPr>
          <w:p w14:paraId="3534D93A"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A9D5214" w14:textId="1203C1F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29B0D9E1" w14:textId="3062AF8B"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1207" w:type="dxa"/>
            <w:shd w:val="clear" w:color="auto" w:fill="FFFFFF" w:themeFill="background1"/>
            <w:vAlign w:val="center"/>
          </w:tcPr>
          <w:p w14:paraId="55F3022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7B19008" w14:textId="1A155ED9" w:rsidR="00B50006" w:rsidRPr="007A087D"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D02AA65" w14:textId="2DEB39FC"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shd w:val="clear" w:color="auto" w:fill="FFFFFF" w:themeFill="background1"/>
            <w:vAlign w:val="center"/>
          </w:tcPr>
          <w:p w14:paraId="7BE971E3"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E25245" w14:textId="350780EA"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00A35306" w14:textId="71AAB92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66BD87F9"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CCA55F6"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B4CF32" w14:textId="16F4B94E"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4290ED8B"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C8B6FE5"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77D659D" w14:textId="5151BFC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r>
      <w:tr w:rsidR="00B50006" w:rsidRPr="007A31D0" w14:paraId="6A9A885C"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226C306B" w14:textId="77777777" w:rsidR="00B50006" w:rsidRDefault="00B50006" w:rsidP="00B50006">
            <w:pPr>
              <w:spacing w:line="276" w:lineRule="auto"/>
              <w:rPr>
                <w:sz w:val="20"/>
                <w:szCs w:val="20"/>
                <w:lang w:val="en-US"/>
              </w:rPr>
            </w:pPr>
            <w:r>
              <w:rPr>
                <w:b w:val="0"/>
                <w:bCs w:val="0"/>
                <w:caps w:val="0"/>
                <w:sz w:val="20"/>
                <w:szCs w:val="20"/>
                <w:lang w:val="en-US"/>
              </w:rPr>
              <w:t>Access Regulation</w:t>
            </w:r>
          </w:p>
          <w:p w14:paraId="64D904A2" w14:textId="77777777" w:rsidR="00B50006" w:rsidRDefault="00B50006" w:rsidP="00B50006">
            <w:pPr>
              <w:spacing w:line="276" w:lineRule="auto"/>
              <w:ind w:firstLine="179"/>
              <w:rPr>
                <w:sz w:val="20"/>
                <w:szCs w:val="20"/>
                <w:lang w:val="en-US"/>
              </w:rPr>
            </w:pPr>
            <w:r>
              <w:rPr>
                <w:b w:val="0"/>
                <w:bCs w:val="0"/>
                <w:caps w:val="0"/>
                <w:sz w:val="20"/>
                <w:szCs w:val="20"/>
                <w:lang w:val="en-US"/>
              </w:rPr>
              <w:t>CIDX</w:t>
            </w:r>
          </w:p>
          <w:p w14:paraId="0F893377" w14:textId="74418CA4"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MTAB</w:t>
            </w:r>
          </w:p>
        </w:tc>
        <w:tc>
          <w:tcPr>
            <w:tcW w:w="1310" w:type="dxa"/>
            <w:tcBorders>
              <w:bottom w:val="single" w:sz="12" w:space="0" w:color="auto"/>
            </w:tcBorders>
            <w:shd w:val="clear" w:color="auto" w:fill="FFFFFF" w:themeFill="background1"/>
            <w:vAlign w:val="center"/>
          </w:tcPr>
          <w:p w14:paraId="530C1CB0"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0DEF9A2E" w14:textId="12B57897"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310" w:type="dxa"/>
            <w:tcBorders>
              <w:bottom w:val="single" w:sz="12" w:space="0" w:color="auto"/>
            </w:tcBorders>
            <w:shd w:val="clear" w:color="auto" w:fill="FFFFFF" w:themeFill="background1"/>
            <w:vAlign w:val="center"/>
          </w:tcPr>
          <w:p w14:paraId="54F53F0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1D881A59" w14:textId="2AA34D2C"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t>
            </w:r>
            <w:r>
              <w:rPr>
                <w:sz w:val="20"/>
                <w:szCs w:val="20"/>
                <w:lang w:val="en-US"/>
              </w:rPr>
              <w:t>w</w:t>
            </w:r>
          </w:p>
        </w:tc>
        <w:tc>
          <w:tcPr>
            <w:tcW w:w="1207" w:type="dxa"/>
            <w:tcBorders>
              <w:bottom w:val="single" w:sz="12" w:space="0" w:color="auto"/>
            </w:tcBorders>
            <w:shd w:val="clear" w:color="auto" w:fill="FFFFFF" w:themeFill="background1"/>
            <w:vAlign w:val="center"/>
          </w:tcPr>
          <w:p w14:paraId="5B87F33B"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2AA19A64" w14:textId="18CCE0D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tcBorders>
              <w:bottom w:val="single" w:sz="12" w:space="0" w:color="auto"/>
            </w:tcBorders>
            <w:shd w:val="clear" w:color="auto" w:fill="FFFFFF" w:themeFill="background1"/>
            <w:vAlign w:val="center"/>
          </w:tcPr>
          <w:p w14:paraId="39AA43C6"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9679211" w14:textId="081D065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tcBorders>
              <w:bottom w:val="single" w:sz="12" w:space="0" w:color="auto"/>
            </w:tcBorders>
            <w:shd w:val="clear" w:color="auto" w:fill="FFFFFF" w:themeFill="background1"/>
            <w:vAlign w:val="center"/>
          </w:tcPr>
          <w:p w14:paraId="7E191B34"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5B3F76" w14:textId="4188C968"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tcBorders>
              <w:bottom w:val="single" w:sz="12" w:space="0" w:color="auto"/>
            </w:tcBorders>
            <w:shd w:val="clear" w:color="auto" w:fill="FFFFFF" w:themeFill="background1"/>
            <w:vAlign w:val="center"/>
          </w:tcPr>
          <w:p w14:paraId="3C42CAD2"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789E6EED" w14:textId="1C743ADB"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bl>
    <w:p w14:paraId="456E16CD" w14:textId="77777777" w:rsidR="002E6277" w:rsidRDefault="002E6277" w:rsidP="002E6277">
      <w:pPr>
        <w:spacing w:after="160" w:line="259" w:lineRule="auto"/>
        <w:rPr>
          <w:lang w:val="en-US"/>
        </w:rPr>
      </w:pPr>
    </w:p>
    <w:p w14:paraId="764C7047" w14:textId="3A662F56" w:rsidR="002E274E" w:rsidRDefault="002E274E">
      <w:pPr>
        <w:spacing w:after="160" w:line="259" w:lineRule="auto"/>
        <w:rPr>
          <w:szCs w:val="24"/>
          <w:lang w:val="en-US"/>
        </w:rPr>
      </w:pPr>
    </w:p>
    <w:p w14:paraId="7D32CF2E" w14:textId="77777777" w:rsidR="002E6277" w:rsidRPr="006A56FF" w:rsidRDefault="002E6277">
      <w:pPr>
        <w:spacing w:after="160" w:line="259" w:lineRule="auto"/>
        <w:rPr>
          <w:szCs w:val="24"/>
          <w:lang w:val="en-US"/>
        </w:rPr>
      </w:pPr>
    </w:p>
    <w:p w14:paraId="0A7FB73F" w14:textId="0C5D6731" w:rsidR="003636D7" w:rsidRPr="006A56FF" w:rsidRDefault="00F31400" w:rsidP="003636D7">
      <w:pPr>
        <w:spacing w:line="360" w:lineRule="auto"/>
        <w:jc w:val="both"/>
        <w:rPr>
          <w:szCs w:val="24"/>
          <w:lang w:val="en-US"/>
        </w:rPr>
      </w:pPr>
      <w:r w:rsidRPr="006A56FF">
        <w:rPr>
          <w:szCs w:val="24"/>
          <w:lang w:val="en-US"/>
        </w:rPr>
        <w:t xml:space="preserve">Based on the </w:t>
      </w:r>
      <w:r w:rsidR="00CA4021" w:rsidRPr="006A56FF">
        <w:rPr>
          <w:szCs w:val="24"/>
          <w:lang w:val="en-US"/>
        </w:rPr>
        <w:t>cluster means we can characterize the three clusters</w:t>
      </w:r>
      <w:r w:rsidR="00C67F4C" w:rsidRPr="006A56FF">
        <w:rPr>
          <w:szCs w:val="24"/>
          <w:lang w:val="en-US"/>
        </w:rPr>
        <w:t xml:space="preserve"> (See Table </w:t>
      </w:r>
      <w:r w:rsidR="00E0718C" w:rsidRPr="006A56FF">
        <w:rPr>
          <w:szCs w:val="24"/>
          <w:lang w:val="en-US"/>
        </w:rPr>
        <w:t>4</w:t>
      </w:r>
      <w:r w:rsidR="00C67F4C" w:rsidRPr="006A56FF">
        <w:rPr>
          <w:szCs w:val="24"/>
          <w:lang w:val="en-US"/>
        </w:rPr>
        <w:t>)</w:t>
      </w:r>
      <w:r w:rsidR="00CA4021" w:rsidRPr="006A56FF">
        <w:rPr>
          <w:szCs w:val="24"/>
          <w:lang w:val="en-US"/>
        </w:rPr>
        <w:t xml:space="preserve">. Cluster 1 is the </w:t>
      </w:r>
      <w:r w:rsidR="007F29CB" w:rsidRPr="006A56FF">
        <w:rPr>
          <w:szCs w:val="24"/>
          <w:lang w:val="en-US"/>
        </w:rPr>
        <w:t>“</w:t>
      </w:r>
      <w:r w:rsidR="00CA4021" w:rsidRPr="006A56FF">
        <w:rPr>
          <w:szCs w:val="24"/>
          <w:lang w:val="en-US"/>
        </w:rPr>
        <w:t>low developed LTC system cluster</w:t>
      </w:r>
      <w:r w:rsidR="007F29CB" w:rsidRPr="006A56FF">
        <w:rPr>
          <w:szCs w:val="24"/>
          <w:lang w:val="en-US"/>
        </w:rPr>
        <w:t>”</w:t>
      </w:r>
      <w:r w:rsidR="00CA4021" w:rsidRPr="006A56FF">
        <w:rPr>
          <w:szCs w:val="24"/>
          <w:lang w:val="en-US"/>
        </w:rPr>
        <w:t>. The cluster includes countries of Eastern Europe and Non-European OCED countries in which public LTC provision is still limited. The supply</w:t>
      </w:r>
      <w:r w:rsidR="005D4FC8" w:rsidRPr="006A56FF">
        <w:rPr>
          <w:szCs w:val="24"/>
          <w:lang w:val="en-US"/>
        </w:rPr>
        <w:t>,</w:t>
      </w:r>
      <w:r w:rsidR="00CA4021" w:rsidRPr="006A56FF">
        <w:rPr>
          <w:szCs w:val="24"/>
          <w:lang w:val="en-US"/>
        </w:rPr>
        <w:t xml:space="preserve"> especially the financial </w:t>
      </w:r>
      <w:r w:rsidR="007F29CB" w:rsidRPr="006A56FF">
        <w:rPr>
          <w:szCs w:val="24"/>
          <w:lang w:val="en-US"/>
        </w:rPr>
        <w:t>input into these clusters</w:t>
      </w:r>
      <w:r w:rsidR="005D4FC8" w:rsidRPr="006A56FF">
        <w:rPr>
          <w:szCs w:val="24"/>
          <w:lang w:val="en-US"/>
        </w:rPr>
        <w:t>,</w:t>
      </w:r>
      <w:r w:rsidR="007F29CB" w:rsidRPr="006A56FF">
        <w:rPr>
          <w:szCs w:val="24"/>
          <w:lang w:val="en-US"/>
        </w:rPr>
        <w:t xml:space="preserve"> is low</w:t>
      </w:r>
      <w:r w:rsidR="00CA4021" w:rsidRPr="006A56FF">
        <w:rPr>
          <w:szCs w:val="24"/>
          <w:lang w:val="en-US"/>
        </w:rPr>
        <w:t xml:space="preserve"> compared to the other clusters and this </w:t>
      </w:r>
      <w:proofErr w:type="gramStart"/>
      <w:r w:rsidR="00CA4021" w:rsidRPr="006A56FF">
        <w:rPr>
          <w:szCs w:val="24"/>
          <w:lang w:val="en-US"/>
        </w:rPr>
        <w:t>affects also</w:t>
      </w:r>
      <w:proofErr w:type="gramEnd"/>
      <w:r w:rsidR="00CA4021" w:rsidRPr="006A56FF">
        <w:rPr>
          <w:szCs w:val="24"/>
          <w:lang w:val="en-US"/>
        </w:rPr>
        <w:t xml:space="preserve"> the performance of the systems which is relatively low</w:t>
      </w:r>
      <w:r w:rsidR="007F29CB" w:rsidRPr="006A56FF">
        <w:rPr>
          <w:szCs w:val="24"/>
          <w:lang w:val="en-US"/>
        </w:rPr>
        <w:t xml:space="preserve">. The systems are highly publicly </w:t>
      </w:r>
      <w:r w:rsidR="00310B7D" w:rsidRPr="006A56FF">
        <w:rPr>
          <w:szCs w:val="24"/>
          <w:lang w:val="en-US"/>
        </w:rPr>
        <w:t>financed,</w:t>
      </w:r>
      <w:r w:rsidR="007F29CB" w:rsidRPr="006A56FF">
        <w:rPr>
          <w:szCs w:val="24"/>
          <w:lang w:val="en-US"/>
        </w:rPr>
        <w:t xml:space="preserve"> and choice of services are majorly </w:t>
      </w:r>
      <w:proofErr w:type="gramStart"/>
      <w:r w:rsidR="007F29CB" w:rsidRPr="006A56FF">
        <w:rPr>
          <w:szCs w:val="24"/>
          <w:lang w:val="en-US"/>
        </w:rPr>
        <w:t>free</w:t>
      </w:r>
      <w:proofErr w:type="gramEnd"/>
      <w:r w:rsidR="007F29CB" w:rsidRPr="006A56FF">
        <w:rPr>
          <w:szCs w:val="24"/>
          <w:lang w:val="en-US"/>
        </w:rPr>
        <w:t xml:space="preserve"> and means-testing is relevant for only some of the countries. Still, the limited supply in these countries puts the access regulation indicators in perspective.</w:t>
      </w:r>
      <w:r w:rsidR="003636D7" w:rsidRPr="006A56FF">
        <w:rPr>
          <w:szCs w:val="24"/>
          <w:lang w:val="en-US"/>
        </w:rPr>
        <w:t xml:space="preserve"> </w:t>
      </w:r>
    </w:p>
    <w:p w14:paraId="24BADEEC" w14:textId="0957DB2B" w:rsidR="003636D7" w:rsidRPr="006A56FF" w:rsidRDefault="003636D7" w:rsidP="003636D7">
      <w:pPr>
        <w:spacing w:line="360" w:lineRule="auto"/>
        <w:jc w:val="both"/>
        <w:rPr>
          <w:szCs w:val="24"/>
          <w:lang w:val="en-US"/>
        </w:rPr>
      </w:pPr>
      <w:r w:rsidRPr="006A56FF">
        <w:rPr>
          <w:szCs w:val="24"/>
          <w:lang w:val="en-US"/>
        </w:rPr>
        <w:t xml:space="preserve">The second cluster includes Continental and Northern European countries and Japan. This cluster is the “universal developed LTC system type”. These countries share LTC system with high financial and institutional supply which mirrors in high performance levels. The financing is based on a medium level of private financing. The choice of benefits is rather </w:t>
      </w:r>
      <w:proofErr w:type="gramStart"/>
      <w:r w:rsidRPr="006A56FF">
        <w:rPr>
          <w:szCs w:val="24"/>
          <w:lang w:val="en-US"/>
        </w:rPr>
        <w:t>free</w:t>
      </w:r>
      <w:proofErr w:type="gramEnd"/>
      <w:r w:rsidRPr="006A56FF">
        <w:rPr>
          <w:szCs w:val="24"/>
          <w:lang w:val="en-US"/>
        </w:rPr>
        <w:t xml:space="preserve"> and means-testing is medium or low in these countries. Thus, public LTC system </w:t>
      </w:r>
      <w:proofErr w:type="gramStart"/>
      <w:r w:rsidRPr="006A56FF">
        <w:rPr>
          <w:szCs w:val="24"/>
          <w:lang w:val="en-US"/>
        </w:rPr>
        <w:t>are</w:t>
      </w:r>
      <w:proofErr w:type="gramEnd"/>
      <w:r w:rsidRPr="006A56FF">
        <w:rPr>
          <w:szCs w:val="24"/>
          <w:lang w:val="en-US"/>
        </w:rPr>
        <w:t xml:space="preserve"> rather high developed in these countries with only minor limitations for patients to access and finance their LTC costs.</w:t>
      </w:r>
    </w:p>
    <w:p w14:paraId="3D40E010" w14:textId="598ED165" w:rsidR="00581986" w:rsidRPr="006A56FF" w:rsidRDefault="003636D7" w:rsidP="00DB62C0">
      <w:pPr>
        <w:spacing w:line="360" w:lineRule="auto"/>
        <w:jc w:val="both"/>
        <w:rPr>
          <w:szCs w:val="24"/>
          <w:lang w:val="en-US"/>
        </w:rPr>
        <w:sectPr w:rsidR="00581986" w:rsidRPr="006A56FF" w:rsidSect="00AD66E9">
          <w:footerReference w:type="default" r:id="rId15"/>
          <w:pgSz w:w="11906" w:h="16838"/>
          <w:pgMar w:top="1417" w:right="1983" w:bottom="1134" w:left="1417" w:header="708" w:footer="708" w:gutter="0"/>
          <w:cols w:space="708"/>
          <w:docGrid w:linePitch="360"/>
        </w:sectPr>
      </w:pPr>
      <w:r w:rsidRPr="006A56FF">
        <w:rPr>
          <w:szCs w:val="24"/>
          <w:lang w:val="en-US"/>
        </w:rPr>
        <w:t xml:space="preserve">The third cluster is the “private developed LTC system type”. The countries in these clusters share a medium supply in terms of financing and a low supply in terms of institutional provision. Financing is highly privatized and public services are often </w:t>
      </w:r>
      <w:r w:rsidRPr="006A56FF">
        <w:rPr>
          <w:szCs w:val="24"/>
          <w:lang w:val="en-US"/>
        </w:rPr>
        <w:lastRenderedPageBreak/>
        <w:t xml:space="preserve">restricted by means-testing and choice restrictions. Still, the performance of these systems </w:t>
      </w:r>
      <w:r w:rsidRPr="006A56FF">
        <w:rPr>
          <w:szCs w:val="24"/>
          <w:lang w:val="en-US"/>
        </w:rPr>
        <w:t>is relatively high. Thus, limited public provision and access to public provision is mitigated by private financing of services wh</w:t>
      </w:r>
      <w:r w:rsidR="008D7AC3" w:rsidRPr="006A56FF">
        <w:rPr>
          <w:szCs w:val="24"/>
          <w:lang w:val="en-US"/>
        </w:rPr>
        <w:t>ich leads to high performances</w:t>
      </w:r>
    </w:p>
    <w:p w14:paraId="762318F9" w14:textId="099CA412" w:rsidR="008D6126" w:rsidRPr="006A56FF" w:rsidRDefault="008D6126" w:rsidP="00EB31E0">
      <w:pPr>
        <w:pStyle w:val="berschrift1"/>
        <w:rPr>
          <w:lang w:val="en-US"/>
        </w:rPr>
      </w:pPr>
      <w:r w:rsidRPr="006A56FF">
        <w:rPr>
          <w:lang w:val="en-US"/>
        </w:rPr>
        <w:lastRenderedPageBreak/>
        <w:t>Discussion</w:t>
      </w:r>
      <w:r w:rsidR="0081256C" w:rsidRPr="006A56FF">
        <w:rPr>
          <w:lang w:val="en-US"/>
        </w:rPr>
        <w:t xml:space="preserve"> – 677 words</w:t>
      </w:r>
    </w:p>
    <w:p w14:paraId="268D2AE6" w14:textId="55E2CCBA" w:rsidR="0012335A" w:rsidRPr="006A56FF" w:rsidRDefault="0012335A" w:rsidP="00A31CB1">
      <w:pPr>
        <w:pStyle w:val="02FlietextErsterAbsatz"/>
        <w:rPr>
          <w:lang w:val="en-US"/>
        </w:rPr>
      </w:pPr>
      <w:r w:rsidRPr="006A56FF">
        <w:rPr>
          <w:lang w:val="en-US"/>
        </w:rPr>
        <w:t xml:space="preserve">These results partly support earlier findings of LTC typologies but also provides new evidence on LTC system types. The </w:t>
      </w:r>
      <w:r w:rsidR="00CD7884" w:rsidRPr="006A56FF">
        <w:rPr>
          <w:lang w:val="en-US"/>
        </w:rPr>
        <w:t>“</w:t>
      </w:r>
      <w:r w:rsidRPr="006A56FF">
        <w:rPr>
          <w:lang w:val="en-US"/>
        </w:rPr>
        <w:t>low-developed LTC system</w:t>
      </w:r>
      <w:r w:rsidR="00CD7884" w:rsidRPr="006A56FF">
        <w:rPr>
          <w:lang w:val="en-US"/>
        </w:rPr>
        <w:t>”</w:t>
      </w:r>
      <w:r w:rsidRPr="006A56FF">
        <w:rPr>
          <w:lang w:val="en-US"/>
        </w:rPr>
        <w:t xml:space="preserve"> cluster includes as earlier typologies a high number of Eastern European countries</w:t>
      </w:r>
      <w:r w:rsidR="00AE58E8" w:rsidRPr="006A56FF">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lang w:val="en-US"/>
            </w:rPr>
            <w:fldChar w:fldCharType="separate"/>
          </w:r>
          <w:r w:rsidR="00AE58E8" w:rsidRPr="006A56FF">
            <w:rPr>
              <w:lang w:val="en-US"/>
            </w:rPr>
            <w:t>(Damiani et al., 2011; Halásková et al., 2017; Kraus et al., 2010)</w:t>
          </w:r>
          <w:r w:rsidR="00AE58E8" w:rsidRPr="006A56FF">
            <w:rPr>
              <w:lang w:val="en-US"/>
            </w:rPr>
            <w:fldChar w:fldCharType="end"/>
          </w:r>
        </w:sdtContent>
      </w:sdt>
      <w:r w:rsidR="00AE58E8" w:rsidRPr="006A56FF">
        <w:rPr>
          <w:lang w:val="en-US"/>
        </w:rPr>
        <w:t xml:space="preserve"> with the addition of three Non-European countries, Australia, New Zealand and Korea. The “universal developed LTC system type” combines the often found </w:t>
      </w:r>
      <w:r w:rsidR="0095023E" w:rsidRPr="006A56FF">
        <w:rPr>
          <w:lang w:val="en-US"/>
        </w:rPr>
        <w:t>Scandinavian</w:t>
      </w:r>
      <w:r w:rsidR="00AE58E8" w:rsidRPr="006A56FF">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lang w:val="en-US"/>
            </w:rPr>
            <w:fldChar w:fldCharType="separate"/>
          </w:r>
          <w:r w:rsidR="00AE58E8" w:rsidRPr="006A56FF">
            <w:rPr>
              <w:lang w:val="en-US"/>
            </w:rPr>
            <w:t>(Alber, 1995; Colombo, 2012; Damiani et al., 2011; Kraus et al., 2010; Pommer et al., 2009)</w:t>
          </w:r>
          <w:r w:rsidR="00AE58E8" w:rsidRPr="006A56FF">
            <w:rPr>
              <w:lang w:val="en-US"/>
            </w:rPr>
            <w:fldChar w:fldCharType="end"/>
          </w:r>
        </w:sdtContent>
      </w:sdt>
      <w:r w:rsidR="00AE58E8" w:rsidRPr="006A56FF">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lang w:val="en-US"/>
            </w:rPr>
            <w:fldChar w:fldCharType="separate"/>
          </w:r>
          <w:r w:rsidR="00AE58E8" w:rsidRPr="006A56FF">
            <w:rPr>
              <w:lang w:val="en-US"/>
            </w:rPr>
            <w:t>(Alber, 1995; Damiani et al., 2011; Halásková et al., 2017)</w:t>
          </w:r>
          <w:r w:rsidR="00AE58E8" w:rsidRPr="006A56FF">
            <w:rPr>
              <w:lang w:val="en-US"/>
            </w:rPr>
            <w:fldChar w:fldCharType="end"/>
          </w:r>
        </w:sdtContent>
      </w:sdt>
      <w:r w:rsidR="0095023E" w:rsidRPr="006A56FF">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lang w:val="en-US"/>
            </w:rPr>
            <w:fldChar w:fldCharType="separate"/>
          </w:r>
          <w:r w:rsidR="0095023E" w:rsidRPr="006A56FF">
            <w:rPr>
              <w:lang w:val="en-US"/>
            </w:rPr>
            <w:t>Colombo et al.</w:t>
          </w:r>
          <w:r w:rsidR="0095023E" w:rsidRPr="006A56FF">
            <w:rPr>
              <w:lang w:val="en-US"/>
            </w:rPr>
            <w:fldChar w:fldCharType="end"/>
          </w:r>
        </w:sdtContent>
      </w:sdt>
      <w:r w:rsidR="0095023E" w:rsidRPr="006A56FF">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lang w:val="en-US"/>
            </w:rPr>
            <w:fldChar w:fldCharType="separate"/>
          </w:r>
          <w:r w:rsidR="0095023E" w:rsidRPr="006A56FF">
            <w:rPr>
              <w:lang w:val="en-US"/>
            </w:rPr>
            <w:t>(2011)</w:t>
          </w:r>
          <w:r w:rsidR="0095023E" w:rsidRPr="006A56FF">
            <w:rPr>
              <w:lang w:val="en-US"/>
            </w:rPr>
            <w:fldChar w:fldCharType="end"/>
          </w:r>
        </w:sdtContent>
      </w:sdt>
      <w:r w:rsidR="0095023E" w:rsidRPr="006A56FF">
        <w:rPr>
          <w:lang w:val="en-US"/>
        </w:rPr>
        <w:t xml:space="preserve"> built a means-tested type including the UK and the US. Yet</w:t>
      </w:r>
      <w:r w:rsidR="00672A43" w:rsidRPr="006A56FF">
        <w:rPr>
          <w:lang w:val="en-US"/>
        </w:rPr>
        <w:t>,</w:t>
      </w:r>
      <w:r w:rsidR="0095023E" w:rsidRPr="006A56FF">
        <w:rPr>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A31CB1">
      <w:pPr>
        <w:pStyle w:val="02FlietextEinzug"/>
        <w:rPr>
          <w:lang w:val="en-US"/>
        </w:rPr>
      </w:pPr>
      <w:r w:rsidRPr="006A56FF">
        <w:rPr>
          <w:lang w:val="en-US"/>
        </w:rPr>
        <w:t>Although many reforms in countries’ OECD LTC systems focused on privatization and marketization of benefits (</w:t>
      </w:r>
      <w:proofErr w:type="spellStart"/>
      <w:r w:rsidRPr="006A56FF">
        <w:rPr>
          <w:lang w:val="en-US"/>
        </w:rPr>
        <w:t>Ranci</w:t>
      </w:r>
      <w:proofErr w:type="spellEnd"/>
      <w:r w:rsidRPr="006A56FF">
        <w:rPr>
          <w:lang w:val="en-US"/>
        </w:rPr>
        <w:t xml:space="preserve"> and </w:t>
      </w:r>
      <w:proofErr w:type="spellStart"/>
      <w:r w:rsidRPr="006A56FF">
        <w:rPr>
          <w:lang w:val="en-US"/>
        </w:rPr>
        <w:t>Pavolini</w:t>
      </w:r>
      <w:proofErr w:type="spellEnd"/>
      <w:r w:rsidRPr="006A56FF">
        <w:rPr>
          <w:lang w:val="en-US"/>
        </w:rPr>
        <w:t>, 2013; Farris and Marchetti, 2017) in 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proofErr w:type="gramStart"/>
      <w:r w:rsidR="00672A43" w:rsidRPr="006A56FF">
        <w:rPr>
          <w:lang w:val="en-US"/>
        </w:rPr>
        <w:t xml:space="preserve">often </w:t>
      </w:r>
      <w:r w:rsidR="00290D20" w:rsidRPr="006A56FF">
        <w:rPr>
          <w:lang w:val="en-US"/>
        </w:rPr>
        <w:t>large</w:t>
      </w:r>
      <w:proofErr w:type="gramEnd"/>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625A3668" w14:textId="6C96A0DA" w:rsidR="00AD66E9" w:rsidRPr="006A56FF" w:rsidRDefault="00AD66E9" w:rsidP="00A31CB1">
      <w:pPr>
        <w:pStyle w:val="berschrift1"/>
        <w:rPr>
          <w:lang w:val="en-US"/>
        </w:rPr>
      </w:pPr>
      <w:r w:rsidRPr="006A56FF">
        <w:rPr>
          <w:lang w:val="en-US"/>
        </w:rPr>
        <w:lastRenderedPageBreak/>
        <w:t>Conclusion</w:t>
      </w:r>
    </w:p>
    <w:p w14:paraId="47E92298" w14:textId="3FE39D93" w:rsidR="00F557A8" w:rsidRPr="006A56FF" w:rsidRDefault="00F557A8" w:rsidP="00A31CB1">
      <w:pPr>
        <w:pStyle w:val="02FlietextErsterAbsatz"/>
        <w:rPr>
          <w:lang w:val="en-US"/>
        </w:rPr>
      </w:pPr>
      <w:r w:rsidRPr="006A56FF">
        <w:rPr>
          <w:lang w:val="en-US"/>
        </w:rPr>
        <w:t xml:space="preserve">We provided an updated, </w:t>
      </w:r>
      <w:proofErr w:type="gramStart"/>
      <w:r w:rsidRPr="006A56FF">
        <w:rPr>
          <w:lang w:val="en-US"/>
        </w:rPr>
        <w:t>innovative</w:t>
      </w:r>
      <w:proofErr w:type="gramEnd"/>
      <w:r w:rsidRPr="006A56FF">
        <w:rPr>
          <w:lang w:val="en-US"/>
        </w:rPr>
        <w:t xml:space="preserve"> and flexible LTC typology. We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lang w:val="en-US"/>
            </w:rPr>
            <w:fldChar w:fldCharType="separate"/>
          </w:r>
          <w:r w:rsidR="00563976" w:rsidRPr="006A56FF">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lang w:val="en-US"/>
            </w:rPr>
            <w:fldChar w:fldCharType="separate"/>
          </w:r>
          <w:r w:rsidR="00563976" w:rsidRPr="006A56FF">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lang w:val="en-US"/>
            </w:rPr>
            <w:fldChar w:fldCharType="separate"/>
          </w:r>
          <w:r w:rsidR="00563976" w:rsidRPr="006A56FF">
            <w:rPr>
              <w:lang w:val="en-US"/>
            </w:rPr>
            <w:t>(2010)</w:t>
          </w:r>
          <w:r w:rsidR="00DF05EA" w:rsidRPr="006A56FF">
            <w:rPr>
              <w:lang w:val="en-US"/>
            </w:rPr>
            <w:fldChar w:fldCharType="end"/>
          </w:r>
        </w:sdtContent>
      </w:sdt>
      <w:r w:rsidR="00DF05EA" w:rsidRPr="006A56FF">
        <w:rPr>
          <w:lang w:val="en-US"/>
        </w:rPr>
        <w:t>. But in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lang w:val="en-US"/>
            </w:rPr>
            <w:fldChar w:fldCharType="separate"/>
          </w:r>
          <w:r w:rsidR="00563976" w:rsidRPr="006A56FF">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5208BBF1"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563976" w:rsidRPr="006A56F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lang w:val="en-US"/>
            </w:rPr>
            <w:fldChar w:fldCharType="separate"/>
          </w:r>
          <w:r w:rsidR="00563976" w:rsidRPr="006A56FF">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lang w:val="en-US"/>
            </w:rPr>
            <w:fldChar w:fldCharType="separate"/>
          </w:r>
          <w:r w:rsidR="00563976" w:rsidRPr="006A56FF">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LTC is in many countries still a new issue in the welfare state, because the provision was </w:t>
      </w:r>
      <w:r w:rsidR="00F95583" w:rsidRPr="006A56FF">
        <w:rPr>
          <w:lang w:val="en-US"/>
        </w:rPr>
        <w:lastRenderedPageBreak/>
        <w:t>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lang w:val="en-US"/>
            </w:rPr>
            <w:fldChar w:fldCharType="separate"/>
          </w:r>
          <w:r w:rsidR="00563976" w:rsidRPr="006A56FF">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lang w:val="en-US"/>
            </w:rPr>
            <w:fldChar w:fldCharType="separate"/>
          </w:r>
          <w:r w:rsidR="00563976" w:rsidRPr="006A56FF">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20" w:name="_CTVBIBLIOGRAPHY1"/>
          <w:bookmarkEnd w:id="20"/>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21"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22" w:name="_CTVL001810c08d70777472783612d9c6746a6b1"/>
          <w:bookmarkEnd w:id="21"/>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23" w:name="_CTVL001d05c2d44cb5e4fe2b3f74ab1c28541ed"/>
          <w:bookmarkEnd w:id="22"/>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24" w:name="_CTVL001e6435ca3dc8443b5a53ecffd8c03ae4d"/>
          <w:bookmarkEnd w:id="23"/>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25" w:name="_CTVL00186166193303347ca969e2168af48b4b8"/>
          <w:bookmarkEnd w:id="24"/>
          <w:r w:rsidRPr="006A56FF">
            <w:rPr>
              <w:szCs w:val="24"/>
              <w:lang w:val="en-US"/>
            </w:rPr>
            <w:t xml:space="preserve">Colombo, F. (2012) ‘Typology of Public Coverage for Long-Term Care in OECD Countries’, in J. Costa-Font and C. Courbage (eds) </w:t>
          </w:r>
          <w:bookmarkEnd w:id="25"/>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26" w:name="_CTVL0010b6a142e90234bc18156f4e7b2566369"/>
          <w:r w:rsidRPr="006A56FF">
            <w:rPr>
              <w:szCs w:val="24"/>
              <w:lang w:val="en-US"/>
            </w:rPr>
            <w:t xml:space="preserve">Colombo, F., Llena-Nozal, A., Mercier, J. and Tjadens, F. (2011) </w:t>
          </w:r>
          <w:bookmarkEnd w:id="26"/>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27"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28" w:name="_CTVL001a4836dae68d94d748616d13fb0207f15"/>
          <w:bookmarkEnd w:id="27"/>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29" w:name="_CTVL001fd3ac2a6731141c3b7b2698947518579"/>
          <w:bookmarkEnd w:id="28"/>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30" w:name="_CTVL0015f1bbd69fb3c4522abd802c60d39aab7"/>
          <w:bookmarkEnd w:id="29"/>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31" w:name="_CTVL0010ab61766c6234c81af59c27fe2c9d49d"/>
          <w:bookmarkEnd w:id="30"/>
          <w:r w:rsidRPr="006A56FF">
            <w:rPr>
              <w:szCs w:val="24"/>
              <w:lang w:val="en-US"/>
            </w:rPr>
            <w:t xml:space="preserve">Esping-Andersen, G. (1990) </w:t>
          </w:r>
          <w:bookmarkEnd w:id="31"/>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32"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33" w:name="_CTVL001b1b4eaaf0a3c4f5e8b08e5aac25ab74c"/>
          <w:bookmarkEnd w:id="32"/>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34" w:name="_CTVL0013deb4cb5e8224491a572d4026b6a1358"/>
          <w:bookmarkEnd w:id="33"/>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35" w:name="_CTVL0017c3d120b68894a438ddae60dd66cb8df"/>
          <w:bookmarkEnd w:id="34"/>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36" w:name="_CTVL001373c94ccf3c24a1ebfb425e778bd7fad"/>
          <w:bookmarkEnd w:id="35"/>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37" w:name="_CTVL0012648c6a98a1148368dd9ae50a6bfa51a"/>
          <w:bookmarkEnd w:id="36"/>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38" w:name="_CTVL001be466e05928646daa518cec4cec03f63"/>
          <w:bookmarkEnd w:id="37"/>
          <w:r w:rsidRPr="006A56FF">
            <w:rPr>
              <w:szCs w:val="24"/>
              <w:lang w:val="en-US"/>
            </w:rPr>
            <w:lastRenderedPageBreak/>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39" w:name="_CTVL0010c10d28edea54957a390cc5df62b8fef"/>
          <w:bookmarkEnd w:id="38"/>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40" w:name="_CTVL0014a831c3476a74e2b9956ea11f6651680"/>
          <w:bookmarkEnd w:id="39"/>
          <w:r w:rsidRPr="006A56FF">
            <w:rPr>
              <w:szCs w:val="24"/>
              <w:lang w:val="en-US"/>
            </w:rPr>
            <w:t xml:space="preserve">Kraus, M., Riedel, M., Mot, E. S., Willemé, P. and Röhrling, G. (2010) </w:t>
          </w:r>
          <w:bookmarkEnd w:id="40"/>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41"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42" w:name="_CTVL0017b919a235e4542c7a45bffd37c2a2501"/>
          <w:bookmarkEnd w:id="41"/>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43" w:name="_CTVL001c8de60e5bb4846cabf3cbe7b0f4faa71"/>
          <w:bookmarkEnd w:id="42"/>
          <w:r w:rsidRPr="006A56FF">
            <w:rPr>
              <w:szCs w:val="24"/>
              <w:lang w:val="en-US"/>
            </w:rPr>
            <w:t xml:space="preserve">Nies, H., Leichsenring, K. and Mak, S. (2013) ‘The Emerging Identity of Long- Term Care Systems in Europe’, in Leichsenring, Kai, Billings, Jenny and H. Nies (eds) </w:t>
          </w:r>
          <w:bookmarkEnd w:id="43"/>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44"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45" w:name="_CTVL00103a469d8c12940fdbc2ae3b2729b6d39"/>
          <w:bookmarkEnd w:id="44"/>
          <w:r w:rsidRPr="006A56FF">
            <w:rPr>
              <w:szCs w:val="24"/>
              <w:lang w:val="en-US"/>
            </w:rPr>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46" w:name="_CTVL0015370e4185b9d4a5f893208ca47bb9848"/>
          <w:bookmarkEnd w:id="45"/>
          <w:r w:rsidRPr="006A56FF">
            <w:rPr>
              <w:szCs w:val="24"/>
              <w:lang w:val="en-US"/>
            </w:rPr>
            <w:t xml:space="preserve">Pommer, E., Woittiez, I. and Stevens, J. (2009) </w:t>
          </w:r>
          <w:bookmarkEnd w:id="46"/>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47" w:name="_CTVL0014fb1e12993c0486bb38a312102fa0b95"/>
          <w:r w:rsidRPr="006A56FF">
            <w:rPr>
              <w:szCs w:val="24"/>
              <w:lang w:val="en-US"/>
            </w:rPr>
            <w:t xml:space="preserve">Ranci, C. and Pavolini, E. (eds.) (2013) </w:t>
          </w:r>
          <w:bookmarkEnd w:id="47"/>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48"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49" w:name="_CTVL0011bf34687a16f42f68121c0bf4b2f930f"/>
          <w:bookmarkEnd w:id="48"/>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50" w:name="_CTVL001ba251d514c9d4bae9495b7c6c02444ab"/>
          <w:bookmarkEnd w:id="49"/>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51" w:name="_CTVL001c4d18bc7cbb84effbca47358d0ec4f5f"/>
          <w:bookmarkEnd w:id="50"/>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52" w:name="_CTVL001374111b5997247799147bfd63b1f9fef"/>
          <w:bookmarkEnd w:id="51"/>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53" w:name="_CTVL0010aa49c15848940a59eff4c656fb83638"/>
          <w:bookmarkEnd w:id="52"/>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54" w:name="_CTVL001c4cde9c35b0a4375a4d04a5ae1610beb"/>
          <w:bookmarkEnd w:id="53"/>
          <w:r w:rsidRPr="006A56FF">
            <w:rPr>
              <w:szCs w:val="24"/>
              <w:lang w:val="en-US"/>
            </w:rPr>
            <w:t xml:space="preserve">Spasova, S., Baeten, R., Coster, S., Ghailani, D., Peña-Casas, R. and Vanhercke, B. (2018) </w:t>
          </w:r>
          <w:bookmarkEnd w:id="54"/>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55"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56" w:name="_CTVL001ba09466a76eb497588929f7223bebb75"/>
          <w:bookmarkEnd w:id="55"/>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57" w:name="_CTVL001ab516b2141194d84a0d50dcc11af4e93"/>
          <w:bookmarkEnd w:id="56"/>
          <w:r w:rsidRPr="006A56FF">
            <w:rPr>
              <w:szCs w:val="24"/>
              <w:lang w:val="en-US"/>
            </w:rPr>
            <w:t>Wendt, C. (2014) ‘Changing Healthcare System Types’, Social Policy &amp; Administration 48(7): 864–82.</w:t>
          </w:r>
          <w:bookmarkEnd w:id="57"/>
          <w:r w:rsidR="00D062D3" w:rsidRPr="006A56FF">
            <w:rPr>
              <w:szCs w:val="24"/>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418753A"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Pr="00BD5458">
        <w:rPr>
          <w:sz w:val="22"/>
          <w:szCs w:val="22"/>
          <w:lang w:val="en-US"/>
        </w:rPr>
        <w:t>4</w:t>
      </w:r>
      <w:r w:rsidRPr="00BD5458">
        <w:rPr>
          <w:sz w:val="22"/>
          <w:szCs w:val="22"/>
          <w:lang w:val="en-US"/>
        </w:rPr>
        <w:fldChar w:fldCharType="end"/>
      </w:r>
      <w:r w:rsidRPr="00BD5458">
        <w:rPr>
          <w:sz w:val="22"/>
          <w:szCs w:val="22"/>
          <w:lang w:val="en-US"/>
        </w:rPr>
        <w:t>: Means LTC typology indicators over countries (N=25) and years (2014-</w:t>
      </w:r>
      <w:commentRangeStart w:id="58"/>
      <w:r w:rsidRPr="00BD5458">
        <w:rPr>
          <w:sz w:val="22"/>
          <w:szCs w:val="22"/>
          <w:lang w:val="en-US"/>
        </w:rPr>
        <w:t>2016</w:t>
      </w:r>
      <w:commentRangeEnd w:id="58"/>
      <w:r>
        <w:rPr>
          <w:rStyle w:val="Kommentarzeichen"/>
          <w:color w:val="000000"/>
        </w:rPr>
        <w:commentReference w:id="58"/>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Qualitative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1C844F2"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5</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59"/>
      <w:r w:rsidRPr="006A56FF">
        <w:rPr>
          <w:sz w:val="22"/>
          <w:szCs w:val="22"/>
          <w:lang w:val="en-US"/>
        </w:rPr>
        <w:t>clusters</w:t>
      </w:r>
      <w:commentRangeEnd w:id="59"/>
      <w:r>
        <w:rPr>
          <w:rStyle w:val="Kommentarzeichen"/>
          <w:color w:val="000000"/>
        </w:rPr>
        <w:commentReference w:id="59"/>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034B7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034B71">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034B71">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034B71">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034B71">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034B71">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034B71">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034B71">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034B71">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034B71">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034B71">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034B71">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Default="0026723C">
      <w:pPr>
        <w:spacing w:after="160" w:line="259" w:lineRule="auto"/>
        <w:rPr>
          <w:rFonts w:eastAsia="Times New Roman"/>
          <w:b/>
          <w:bCs/>
          <w:sz w:val="32"/>
          <w:szCs w:val="28"/>
        </w:rPr>
      </w:pPr>
      <w:r>
        <w:br w:type="page"/>
      </w:r>
    </w:p>
    <w:p w14:paraId="3FBAC0E2" w14:textId="3D4AB8F2" w:rsidR="0026723C" w:rsidRDefault="0026723C">
      <w:pPr>
        <w:pStyle w:val="CitaviBibliographyHeading"/>
      </w:pPr>
      <w:r>
        <w:lastRenderedPageBreak/>
        <w:t>CUT CONTENT</w:t>
      </w:r>
    </w:p>
    <w:p w14:paraId="46CADB2B" w14:textId="77777777" w:rsidR="0026723C" w:rsidRPr="006A56FF" w:rsidRDefault="0026723C" w:rsidP="002672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(N=5) </w:t>
      </w:r>
      <w:r w:rsidRPr="006A56FF">
        <w:rPr>
          <w:sz w:val="22"/>
          <w:szCs w:val="22"/>
          <w:lang w:val="en-US"/>
        </w:rPr>
        <w:t xml:space="preserve">theory-based </w:t>
      </w:r>
      <w:commentRangeStart w:id="60"/>
      <w:r w:rsidRPr="006A56FF">
        <w:rPr>
          <w:sz w:val="22"/>
          <w:szCs w:val="22"/>
          <w:lang w:val="en-US"/>
        </w:rPr>
        <w:t>clusters</w:t>
      </w:r>
      <w:commentRangeEnd w:id="60"/>
      <w:r>
        <w:rPr>
          <w:rStyle w:val="Kommentarzeichen"/>
          <w:color w:val="000000"/>
        </w:rPr>
        <w:commentReference w:id="60"/>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034B7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034B71">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034B71">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034B71">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77777777" w:rsidR="0026723C" w:rsidRDefault="0026723C" w:rsidP="0026723C">
      <w:pPr>
        <w:keepNext/>
        <w:spacing w:after="200"/>
        <w:rPr>
          <w:rFonts w:eastAsiaTheme="minorHAnsi"/>
          <w:iCs/>
          <w:color w:val="auto"/>
          <w:lang w:val="en-US"/>
        </w:rPr>
      </w:pPr>
      <w:r>
        <w:rPr>
          <w:rFonts w:eastAsiaTheme="minorHAnsi"/>
          <w:iCs/>
          <w:color w:val="auto"/>
          <w:lang w:val="en-US"/>
        </w:rPr>
        <w:t>Table 5</w:t>
      </w:r>
      <w:r w:rsidRPr="006914AC">
        <w:rPr>
          <w:rFonts w:eastAsiaTheme="minorHAnsi"/>
          <w:iCs/>
          <w:color w:val="auto"/>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034B7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034B71">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034B71">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034B71">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7A087D" w14:paraId="63894FCE"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034B71">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034B71">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034B71">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034B71">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034B71">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034B71">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034B71">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034B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034B7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034B71">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034B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29E6D846" w14:textId="77777777" w:rsidR="0026723C" w:rsidRPr="0026723C" w:rsidRDefault="0026723C">
      <w:pPr>
        <w:pStyle w:val="CitaviBibliographyHeading"/>
        <w:rPr>
          <w:lang w:val="en-US"/>
        </w:rPr>
      </w:pPr>
    </w:p>
    <w:p w14:paraId="6B7D3375" w14:textId="77777777" w:rsidR="000C6B26" w:rsidRPr="000C6B26" w:rsidRDefault="000C6B26">
      <w:pPr>
        <w:pStyle w:val="CitaviBibliographyHeading"/>
        <w:rPr>
          <w:lang w:val="en-US"/>
        </w:rPr>
      </w:pP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hilipp Alexander Linden" w:date="2020-06-03T17:47:00Z" w:initials="PAL">
    <w:p w14:paraId="01577A08" w14:textId="77777777" w:rsidR="00832038" w:rsidRDefault="00832038">
      <w:pPr>
        <w:pStyle w:val="Kommentartext"/>
      </w:pPr>
      <w:r>
        <w:rPr>
          <w:rStyle w:val="Kommentarzeichen"/>
        </w:rPr>
        <w:annotationRef/>
      </w:r>
      <w:r>
        <w:t>Input von MA:</w:t>
      </w:r>
    </w:p>
    <w:p w14:paraId="27971593" w14:textId="77777777" w:rsidR="00832038" w:rsidRDefault="00832038">
      <w:pPr>
        <w:pStyle w:val="Kommentartext"/>
      </w:pPr>
    </w:p>
    <w:p w14:paraId="6C3367E3" w14:textId="77777777" w:rsidR="00832038" w:rsidRDefault="00832038">
      <w:pPr>
        <w:pStyle w:val="Kommentartext"/>
      </w:pPr>
      <w:r>
        <w:t>Was und wo wurde genau gesucht, wenn die Informationen nicht eindeutig waren?</w:t>
      </w:r>
    </w:p>
    <w:p w14:paraId="5A225731" w14:textId="48A30AEC" w:rsidR="00832038" w:rsidRPr="00D534D0" w:rsidRDefault="00832038">
      <w:pPr>
        <w:pStyle w:val="Kommentartext"/>
      </w:pPr>
      <w:r>
        <w:t xml:space="preserve">Wie ist die ExpertInnen-Befragung genau abgelaufen? </w:t>
      </w:r>
      <w:r w:rsidRPr="00D534D0">
        <w:t xml:space="preserve">Ähnlich </w:t>
      </w:r>
      <w:proofErr w:type="spellStart"/>
      <w:r w:rsidRPr="00D534D0">
        <w:t>Reibling</w:t>
      </w:r>
      <w:proofErr w:type="spellEnd"/>
      <w:r w:rsidRPr="00D534D0">
        <w:t xml:space="preserve"> et al. 2019?</w:t>
      </w:r>
    </w:p>
  </w:comment>
  <w:comment w:id="2" w:author="Mareike Ariaans" w:date="2020-06-23T12:11:00Z" w:initials="MA">
    <w:p w14:paraId="395D1678" w14:textId="30A7C0EE" w:rsidR="00832038" w:rsidRDefault="00832038">
      <w:pPr>
        <w:pStyle w:val="Kommentartext"/>
      </w:pPr>
      <w:r>
        <w:rPr>
          <w:rStyle w:val="Kommentarzeichen"/>
        </w:rPr>
        <w:annotationRef/>
      </w:r>
      <w:r>
        <w:t xml:space="preserve">Ja. Wir haben nachdem wir alle qualitativen Werte festgelegt haben, einen Fragebogen für jedes Land erstellt in dem wir „unsere“ Werte eingetragen haben. Die haben wir dann an entsprechende Länderexperten geschickt (einige kannten Claus und ich persönlich durch Konferenzen etc. andere habe ich einfach gesucht. </w:t>
      </w:r>
      <w:proofErr w:type="gramStart"/>
      <w:r>
        <w:t>Habe</w:t>
      </w:r>
      <w:proofErr w:type="gramEnd"/>
      <w:r>
        <w:t xml:space="preserve"> da vor allem Leute angeschrieben, die zur Pflege in einem jeweiligen Land mal etwas geschrieben haben).</w:t>
      </w:r>
    </w:p>
  </w:comment>
  <w:comment w:id="4" w:author="Philipp Alexander Linden" w:date="2020-06-03T19:24:00Z" w:initials="PAL">
    <w:p w14:paraId="19D3C84F" w14:textId="56430509" w:rsidR="00832038" w:rsidRPr="00D534D0" w:rsidRDefault="00832038">
      <w:pPr>
        <w:pStyle w:val="Kommentartext"/>
      </w:pPr>
      <w:r>
        <w:rPr>
          <w:rStyle w:val="Kommentarzeichen"/>
        </w:rPr>
        <w:annotationRef/>
      </w:r>
      <w:r w:rsidRPr="00D534D0">
        <w:t xml:space="preserve">150 </w:t>
      </w:r>
      <w:proofErr w:type="spellStart"/>
      <w:r w:rsidRPr="00D534D0">
        <w:t>words</w:t>
      </w:r>
      <w:proofErr w:type="spellEnd"/>
    </w:p>
  </w:comment>
  <w:comment w:id="5" w:author="Philipp Alexander Linden" w:date="2020-06-12T15:15:00Z" w:initials="PAL">
    <w:p w14:paraId="021E2B4B" w14:textId="3588F33D" w:rsidR="00832038" w:rsidRDefault="00832038">
      <w:pPr>
        <w:pStyle w:val="Kommentartext"/>
      </w:pPr>
      <w:r>
        <w:rPr>
          <w:rStyle w:val="Kommentarzeichen"/>
        </w:rPr>
        <w:annotationRef/>
      </w:r>
      <w:r>
        <w:t>Wir brauchen diese Abkürzung für die späteren Tabellen, deswegen würde ich sie hier kurz einführen.</w:t>
      </w:r>
    </w:p>
  </w:comment>
  <w:comment w:id="6" w:author="Mareike Ariaans" w:date="2020-06-23T12:22:00Z" w:initials="MA">
    <w:p w14:paraId="2DBFF51A" w14:textId="47DEEA9D" w:rsidR="00832038" w:rsidRDefault="00832038">
      <w:pPr>
        <w:pStyle w:val="Kommentartext"/>
      </w:pPr>
      <w:r>
        <w:rPr>
          <w:rStyle w:val="Kommentarzeichen"/>
        </w:rPr>
        <w:annotationRef/>
      </w:r>
      <w:r>
        <w:t>Finde ich ok. Ich habe die Abkürzungen ein wenig verändert. Das würde für mich die Lesbarkeit erhöhen. Können darüber aber gerne diskutieren.</w:t>
      </w:r>
    </w:p>
  </w:comment>
  <w:comment w:id="7" w:author="Philipp Alexander Linden" w:date="2020-06-12T15:20:00Z" w:initials="PAL">
    <w:p w14:paraId="49096B57" w14:textId="043C2E95" w:rsidR="00832038" w:rsidRDefault="00832038">
      <w:pPr>
        <w:pStyle w:val="Kommentartext"/>
      </w:pPr>
      <w:r>
        <w:rPr>
          <w:rStyle w:val="Kommentarzeichen"/>
        </w:rPr>
        <w:annotationRef/>
      </w:r>
      <w:r>
        <w:t>Sollen hier die Dimensionen (ähnlich wie im HC Paper) mit aufgeführt werden oder lassen wie die Indikatoren singulär?</w:t>
      </w:r>
    </w:p>
  </w:comment>
  <w:comment w:id="8" w:author="Mareike Ariaans" w:date="2020-06-23T12:20:00Z" w:initials="MA">
    <w:p w14:paraId="3AA97E24" w14:textId="0FCBBD3A" w:rsidR="00832038" w:rsidRDefault="00832038">
      <w:pPr>
        <w:pStyle w:val="Kommentartext"/>
      </w:pPr>
      <w:r>
        <w:rPr>
          <w:rStyle w:val="Kommentarzeichen"/>
        </w:rPr>
        <w:annotationRef/>
      </w:r>
      <w:r>
        <w:t xml:space="preserve">Ja, ich find es gut, wenn die Dimensionen </w:t>
      </w:r>
      <w:proofErr w:type="spellStart"/>
      <w:r>
        <w:t>da mit</w:t>
      </w:r>
      <w:proofErr w:type="spellEnd"/>
      <w:r>
        <w:t xml:space="preserve"> drin sind</w:t>
      </w:r>
    </w:p>
  </w:comment>
  <w:comment w:id="12" w:author="Mareike Ariaans" w:date="2020-06-23T12:24:00Z" w:initials="MA">
    <w:p w14:paraId="7F47662A" w14:textId="4A14F3D1" w:rsidR="00832038" w:rsidRPr="00AC77D4" w:rsidRDefault="00832038">
      <w:pPr>
        <w:pStyle w:val="Kommentartext"/>
      </w:pPr>
      <w:r>
        <w:rPr>
          <w:rStyle w:val="Kommentarzeichen"/>
        </w:rPr>
        <w:annotationRef/>
      </w:r>
      <w:r w:rsidRPr="00185A42">
        <w:rPr>
          <w:lang w:val="en-US"/>
        </w:rPr>
        <w:t xml:space="preserve">Because it </w:t>
      </w:r>
      <w:r>
        <w:rPr>
          <w:lang w:val="en-US"/>
        </w:rPr>
        <w:t>is t</w:t>
      </w:r>
      <w:r w:rsidRPr="00185A42">
        <w:rPr>
          <w:lang w:val="en-US"/>
        </w:rPr>
        <w:t xml:space="preserve">he most recent </w:t>
      </w:r>
      <w:proofErr w:type="gramStart"/>
      <w:r w:rsidRPr="00185A42">
        <w:rPr>
          <w:lang w:val="en-US"/>
        </w:rPr>
        <w:t>data</w:t>
      </w:r>
      <w:r>
        <w:rPr>
          <w:lang w:val="en-US"/>
        </w:rPr>
        <w:t>, and</w:t>
      </w:r>
      <w:proofErr w:type="gramEnd"/>
      <w:r>
        <w:rPr>
          <w:lang w:val="en-US"/>
        </w:rPr>
        <w:t xml:space="preserve"> includes the lowest number of missing values. </w:t>
      </w:r>
      <w:proofErr w:type="spellStart"/>
      <w:r w:rsidRPr="00AC77D4">
        <w:t>We</w:t>
      </w:r>
      <w:proofErr w:type="spellEnd"/>
      <w:r w:rsidRPr="00AC77D4">
        <w:t xml:space="preserve"> </w:t>
      </w:r>
      <w:proofErr w:type="spellStart"/>
      <w:r w:rsidRPr="00AC77D4">
        <w:t>take</w:t>
      </w:r>
      <w:proofErr w:type="spellEnd"/>
      <w:r w:rsidRPr="00AC77D4">
        <w:t xml:space="preserve"> </w:t>
      </w:r>
      <w:proofErr w:type="spellStart"/>
      <w:r w:rsidRPr="00AC77D4">
        <w:t>the</w:t>
      </w:r>
      <w:proofErr w:type="spellEnd"/>
      <w:r w:rsidRPr="00AC77D4">
        <w:t xml:space="preserve"> </w:t>
      </w:r>
      <w:proofErr w:type="spellStart"/>
      <w:r w:rsidRPr="00AC77D4">
        <w:t>average</w:t>
      </w:r>
      <w:proofErr w:type="spellEnd"/>
      <w:r w:rsidRPr="00AC77D4">
        <w:t xml:space="preserve"> </w:t>
      </w:r>
      <w:proofErr w:type="spellStart"/>
      <w:r w:rsidRPr="00AC77D4">
        <w:t>because</w:t>
      </w:r>
      <w:proofErr w:type="spellEnd"/>
      <w:r w:rsidRPr="00AC77D4">
        <w:t xml:space="preserve"> </w:t>
      </w:r>
    </w:p>
  </w:comment>
  <w:comment w:id="13" w:author="Philipp Alexander Linden" w:date="2020-06-12T15:46:00Z" w:initials="PAL">
    <w:p w14:paraId="7EEE8F94" w14:textId="03C3FB7C" w:rsidR="00832038" w:rsidRDefault="00832038">
      <w:pPr>
        <w:pStyle w:val="Kommentartext"/>
      </w:pPr>
      <w:r>
        <w:rPr>
          <w:rStyle w:val="Kommentarzeichen"/>
        </w:rPr>
        <w:annotationRef/>
      </w:r>
      <w:r>
        <w:t>Hier brauche ich noch ein wenig Input von dir, was die Zahlen genau bedeuten. Ist also z.B. ein höherer Wert im Index eine höhere Barriere zum Zugang oder wie lassen sich die Werte 0-4 sonst darstellen?</w:t>
      </w:r>
    </w:p>
  </w:comment>
  <w:comment w:id="18" w:author="Philipp Alexander Linden" w:date="2020-06-12T15:31:00Z" w:initials="PAL">
    <w:p w14:paraId="29AFFE23" w14:textId="63AB174E" w:rsidR="00832038" w:rsidRDefault="00832038" w:rsidP="00832038">
      <w:pPr>
        <w:pStyle w:val="Kommentartext"/>
      </w:pPr>
      <w:r>
        <w:rPr>
          <w:rStyle w:val="Kommentarzeichen"/>
        </w:rPr>
        <w:annotationRef/>
      </w:r>
      <w:r>
        <w:t>1</w:t>
      </w:r>
      <w:r w:rsidR="00652A6F">
        <w:t>84</w:t>
      </w:r>
      <w:r>
        <w:t xml:space="preserve"> </w:t>
      </w:r>
      <w:proofErr w:type="spellStart"/>
      <w:r>
        <w:t>words</w:t>
      </w:r>
      <w:proofErr w:type="spellEnd"/>
    </w:p>
  </w:comment>
  <w:comment w:id="58" w:author="Philipp Alexander Linden" w:date="2020-06-26T15:35:00Z" w:initials="PAL">
    <w:p w14:paraId="19560E76" w14:textId="44662A9D" w:rsidR="00BD5458" w:rsidRDefault="00BD5458">
      <w:pPr>
        <w:pStyle w:val="Kommentartext"/>
      </w:pPr>
      <w:r>
        <w:rPr>
          <w:rStyle w:val="Kommentarzeichen"/>
        </w:rPr>
        <w:annotationRef/>
      </w:r>
      <w:r>
        <w:t xml:space="preserve">315 </w:t>
      </w:r>
      <w:proofErr w:type="spellStart"/>
      <w:r>
        <w:t>words</w:t>
      </w:r>
      <w:proofErr w:type="spellEnd"/>
    </w:p>
  </w:comment>
  <w:comment w:id="59" w:author="Philipp Alexander Linden" w:date="2020-06-12T15:31:00Z" w:initials="PAL">
    <w:p w14:paraId="73A711EC" w14:textId="77777777" w:rsidR="00BD5458" w:rsidRDefault="00BD5458" w:rsidP="00BD5458">
      <w:pPr>
        <w:pStyle w:val="Kommentartext"/>
      </w:pPr>
      <w:r>
        <w:rPr>
          <w:rStyle w:val="Kommentarzeichen"/>
        </w:rPr>
        <w:annotationRef/>
      </w:r>
      <w:r>
        <w:t xml:space="preserve">177 </w:t>
      </w:r>
      <w:proofErr w:type="spellStart"/>
      <w:r>
        <w:t>words</w:t>
      </w:r>
      <w:proofErr w:type="spellEnd"/>
    </w:p>
  </w:comment>
  <w:comment w:id="60" w:author="Philipp Alexander Linden" w:date="2020-06-12T15:31:00Z" w:initials="PAL">
    <w:p w14:paraId="604E777C" w14:textId="77777777" w:rsidR="0026723C" w:rsidRDefault="0026723C" w:rsidP="0026723C">
      <w:pPr>
        <w:pStyle w:val="Kommentartext"/>
      </w:pPr>
      <w:r>
        <w:rPr>
          <w:rStyle w:val="Kommentarzeichen"/>
        </w:rPr>
        <w:annotationRef/>
      </w:r>
      <w:r>
        <w:t xml:space="preserve">131 </w:t>
      </w:r>
      <w:proofErr w:type="spellStart"/>
      <w:r>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25731" w15:done="0"/>
  <w15:commentEx w15:paraId="395D1678" w15:paraIdParent="5A225731" w15:done="0"/>
  <w15:commentEx w15:paraId="19D3C84F" w15:done="0"/>
  <w15:commentEx w15:paraId="021E2B4B" w15:done="0"/>
  <w15:commentEx w15:paraId="2DBFF51A" w15:paraIdParent="021E2B4B" w15:done="0"/>
  <w15:commentEx w15:paraId="49096B57" w15:done="0"/>
  <w15:commentEx w15:paraId="3AA97E24" w15:paraIdParent="49096B57" w15:done="0"/>
  <w15:commentEx w15:paraId="7F47662A" w15:done="0"/>
  <w15:commentEx w15:paraId="7EEE8F94" w15:done="0"/>
  <w15:commentEx w15:paraId="29AFFE23" w15:done="0"/>
  <w15:commentEx w15:paraId="19560E76" w15:done="0"/>
  <w15:commentEx w15:paraId="73A711EC" w15:done="0"/>
  <w15:commentEx w15:paraId="604E7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6094" w16cex:dateUtc="2020-06-03T15:47:00Z"/>
  <w16cex:commentExtensible w16cex:durableId="22827762" w16cex:dateUtc="2020-06-03T17:24:00Z"/>
  <w16cex:commentExtensible w16cex:durableId="228E1A8C" w16cex:dateUtc="2020-06-12T13:15:00Z"/>
  <w16cex:commentExtensible w16cex:durableId="228E1BA2" w16cex:dateUtc="2020-06-12T13:20:00Z"/>
  <w16cex:commentExtensible w16cex:durableId="228E21D8" w16cex:dateUtc="2020-06-12T13:46:00Z"/>
  <w16cex:commentExtensible w16cex:durableId="22A08FBE" w16cex:dateUtc="2020-06-12T13:31:00Z"/>
  <w16cex:commentExtensible w16cex:durableId="22A09426" w16cex:dateUtc="2020-06-26T13:35: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25731" w16cid:durableId="22826094"/>
  <w16cid:commentId w16cid:paraId="395D1678" w16cid:durableId="229DEECC"/>
  <w16cid:commentId w16cid:paraId="19D3C84F" w16cid:durableId="22827762"/>
  <w16cid:commentId w16cid:paraId="021E2B4B" w16cid:durableId="228E1A8C"/>
  <w16cid:commentId w16cid:paraId="2DBFF51A" w16cid:durableId="229DEECF"/>
  <w16cid:commentId w16cid:paraId="49096B57" w16cid:durableId="228E1BA2"/>
  <w16cid:commentId w16cid:paraId="3AA97E24" w16cid:durableId="229DEED1"/>
  <w16cid:commentId w16cid:paraId="7F47662A" w16cid:durableId="229DEED2"/>
  <w16cid:commentId w16cid:paraId="7EEE8F94" w16cid:durableId="228E21D8"/>
  <w16cid:commentId w16cid:paraId="29AFFE23" w16cid:durableId="22A08FBE"/>
  <w16cid:commentId w16cid:paraId="19560E76" w16cid:durableId="22A09426"/>
  <w16cid:commentId w16cid:paraId="73A711EC" w16cid:durableId="228E1E69"/>
  <w16cid:commentId w16cid:paraId="604E777C"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106A2" w14:textId="77777777" w:rsidR="00B45B4A" w:rsidRDefault="00B45B4A" w:rsidP="00DB62C0">
      <w:r>
        <w:separator/>
      </w:r>
    </w:p>
    <w:p w14:paraId="23A85F2D" w14:textId="77777777" w:rsidR="00B45B4A" w:rsidRDefault="00B45B4A"/>
  </w:endnote>
  <w:endnote w:type="continuationSeparator" w:id="0">
    <w:p w14:paraId="06A502CC" w14:textId="77777777" w:rsidR="00B45B4A" w:rsidRDefault="00B45B4A" w:rsidP="00DB62C0">
      <w:r>
        <w:continuationSeparator/>
      </w:r>
    </w:p>
    <w:p w14:paraId="0368F9AB" w14:textId="77777777" w:rsidR="00B45B4A" w:rsidRDefault="00B45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774FE0AB" w:rsidR="00832038" w:rsidRDefault="00832038">
        <w:pPr>
          <w:pStyle w:val="Fuzeile"/>
          <w:jc w:val="right"/>
        </w:pPr>
        <w:r>
          <w:fldChar w:fldCharType="begin"/>
        </w:r>
        <w:r>
          <w:instrText>PAGE   \* MERGEFORMAT</w:instrText>
        </w:r>
        <w:r>
          <w:fldChar w:fldCharType="separate"/>
        </w:r>
        <w:r>
          <w:rPr>
            <w:noProof/>
          </w:rPr>
          <w:t>19</w:t>
        </w:r>
        <w:r>
          <w:fldChar w:fldCharType="end"/>
        </w:r>
      </w:p>
    </w:sdtContent>
  </w:sdt>
  <w:p w14:paraId="36BE76A4" w14:textId="77777777" w:rsidR="00832038" w:rsidRDefault="008320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8182F" w14:textId="77777777" w:rsidR="00B45B4A" w:rsidRDefault="00B45B4A" w:rsidP="00DB62C0">
      <w:r>
        <w:separator/>
      </w:r>
    </w:p>
    <w:p w14:paraId="7034BF4D" w14:textId="77777777" w:rsidR="00B45B4A" w:rsidRDefault="00B45B4A"/>
  </w:footnote>
  <w:footnote w:type="continuationSeparator" w:id="0">
    <w:p w14:paraId="23D81E3C" w14:textId="77777777" w:rsidR="00B45B4A" w:rsidRDefault="00B45B4A" w:rsidP="00DB62C0">
      <w:r>
        <w:continuationSeparator/>
      </w:r>
    </w:p>
    <w:p w14:paraId="350C9CE5" w14:textId="77777777" w:rsidR="00B45B4A" w:rsidRDefault="00B45B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4C49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D895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E61D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BA21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08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CE0F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108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A8CD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E48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C47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B808C76"/>
    <w:lvl w:ilvl="0" w:tplc="6BC49584">
      <w:start w:val="1"/>
      <w:numFmt w:val="decimal"/>
      <w:pStyle w:val="05Aufzhlungnummeriert"/>
      <w:lvlText w:val="%1.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2402B"/>
    <w:rsid w:val="0002562E"/>
    <w:rsid w:val="00025E2C"/>
    <w:rsid w:val="0003105A"/>
    <w:rsid w:val="00032793"/>
    <w:rsid w:val="00034C24"/>
    <w:rsid w:val="00037320"/>
    <w:rsid w:val="00040270"/>
    <w:rsid w:val="000442E3"/>
    <w:rsid w:val="00047EB1"/>
    <w:rsid w:val="00053842"/>
    <w:rsid w:val="00053BF1"/>
    <w:rsid w:val="00056E7C"/>
    <w:rsid w:val="00057C09"/>
    <w:rsid w:val="00071351"/>
    <w:rsid w:val="000732E6"/>
    <w:rsid w:val="00082D2D"/>
    <w:rsid w:val="00094C4D"/>
    <w:rsid w:val="000960F9"/>
    <w:rsid w:val="000A5A7E"/>
    <w:rsid w:val="000B2A21"/>
    <w:rsid w:val="000B7A56"/>
    <w:rsid w:val="000C097C"/>
    <w:rsid w:val="000C6B26"/>
    <w:rsid w:val="000E25FF"/>
    <w:rsid w:val="000E5EEF"/>
    <w:rsid w:val="000F2CA0"/>
    <w:rsid w:val="000F6DC1"/>
    <w:rsid w:val="00105691"/>
    <w:rsid w:val="001066CA"/>
    <w:rsid w:val="0012335A"/>
    <w:rsid w:val="00126962"/>
    <w:rsid w:val="00131EC9"/>
    <w:rsid w:val="00136D75"/>
    <w:rsid w:val="00147CE1"/>
    <w:rsid w:val="00155513"/>
    <w:rsid w:val="00160F11"/>
    <w:rsid w:val="00162B67"/>
    <w:rsid w:val="001634D1"/>
    <w:rsid w:val="00170435"/>
    <w:rsid w:val="00173192"/>
    <w:rsid w:val="00180315"/>
    <w:rsid w:val="001817F0"/>
    <w:rsid w:val="00185A42"/>
    <w:rsid w:val="00187278"/>
    <w:rsid w:val="00191ECF"/>
    <w:rsid w:val="001A0292"/>
    <w:rsid w:val="001B3191"/>
    <w:rsid w:val="001C0CE6"/>
    <w:rsid w:val="001D3817"/>
    <w:rsid w:val="001E64E8"/>
    <w:rsid w:val="001F104C"/>
    <w:rsid w:val="001F4B57"/>
    <w:rsid w:val="001F6140"/>
    <w:rsid w:val="001F6353"/>
    <w:rsid w:val="002128F4"/>
    <w:rsid w:val="00216DEA"/>
    <w:rsid w:val="00241280"/>
    <w:rsid w:val="00245A78"/>
    <w:rsid w:val="002471AC"/>
    <w:rsid w:val="0025677D"/>
    <w:rsid w:val="00261168"/>
    <w:rsid w:val="00265ABF"/>
    <w:rsid w:val="00265CD2"/>
    <w:rsid w:val="0026723C"/>
    <w:rsid w:val="00267612"/>
    <w:rsid w:val="00272AF4"/>
    <w:rsid w:val="002738D8"/>
    <w:rsid w:val="002746DE"/>
    <w:rsid w:val="0027590F"/>
    <w:rsid w:val="002800B4"/>
    <w:rsid w:val="00290D20"/>
    <w:rsid w:val="002A0294"/>
    <w:rsid w:val="002A24A1"/>
    <w:rsid w:val="002A4812"/>
    <w:rsid w:val="002A4B22"/>
    <w:rsid w:val="002A4D2C"/>
    <w:rsid w:val="002A5457"/>
    <w:rsid w:val="002A57AA"/>
    <w:rsid w:val="002A6758"/>
    <w:rsid w:val="002C11D6"/>
    <w:rsid w:val="002C276B"/>
    <w:rsid w:val="002C6547"/>
    <w:rsid w:val="002C694E"/>
    <w:rsid w:val="002D325D"/>
    <w:rsid w:val="002D4667"/>
    <w:rsid w:val="002D6014"/>
    <w:rsid w:val="002D6AC0"/>
    <w:rsid w:val="002E018D"/>
    <w:rsid w:val="002E274E"/>
    <w:rsid w:val="002E6277"/>
    <w:rsid w:val="002F083B"/>
    <w:rsid w:val="002F09EA"/>
    <w:rsid w:val="00304754"/>
    <w:rsid w:val="00304F93"/>
    <w:rsid w:val="00310B7D"/>
    <w:rsid w:val="00315A0E"/>
    <w:rsid w:val="0033302D"/>
    <w:rsid w:val="00341A8B"/>
    <w:rsid w:val="003509B8"/>
    <w:rsid w:val="00351FB1"/>
    <w:rsid w:val="003611ED"/>
    <w:rsid w:val="003636D7"/>
    <w:rsid w:val="00365897"/>
    <w:rsid w:val="00370427"/>
    <w:rsid w:val="00374A56"/>
    <w:rsid w:val="00377728"/>
    <w:rsid w:val="00386E9B"/>
    <w:rsid w:val="00387D21"/>
    <w:rsid w:val="003911ED"/>
    <w:rsid w:val="003B101F"/>
    <w:rsid w:val="003B3094"/>
    <w:rsid w:val="003B6E4C"/>
    <w:rsid w:val="003C0489"/>
    <w:rsid w:val="003D5343"/>
    <w:rsid w:val="003D5F7A"/>
    <w:rsid w:val="00415494"/>
    <w:rsid w:val="004209F1"/>
    <w:rsid w:val="0042481F"/>
    <w:rsid w:val="00427CA7"/>
    <w:rsid w:val="00440583"/>
    <w:rsid w:val="00441606"/>
    <w:rsid w:val="00443E2D"/>
    <w:rsid w:val="00444E03"/>
    <w:rsid w:val="004564F2"/>
    <w:rsid w:val="00490016"/>
    <w:rsid w:val="004936C3"/>
    <w:rsid w:val="00494168"/>
    <w:rsid w:val="004A3337"/>
    <w:rsid w:val="004A5931"/>
    <w:rsid w:val="004A6407"/>
    <w:rsid w:val="004B1DA7"/>
    <w:rsid w:val="004B3994"/>
    <w:rsid w:val="004B68A3"/>
    <w:rsid w:val="004C3BAD"/>
    <w:rsid w:val="004D1F35"/>
    <w:rsid w:val="004D303B"/>
    <w:rsid w:val="004E0187"/>
    <w:rsid w:val="004E7C9C"/>
    <w:rsid w:val="00501DAF"/>
    <w:rsid w:val="00504F64"/>
    <w:rsid w:val="005073E5"/>
    <w:rsid w:val="00522322"/>
    <w:rsid w:val="00534234"/>
    <w:rsid w:val="00535BDA"/>
    <w:rsid w:val="00545374"/>
    <w:rsid w:val="0055140A"/>
    <w:rsid w:val="00552069"/>
    <w:rsid w:val="00555ABD"/>
    <w:rsid w:val="00563976"/>
    <w:rsid w:val="00574BF9"/>
    <w:rsid w:val="00576CF1"/>
    <w:rsid w:val="00577247"/>
    <w:rsid w:val="00581986"/>
    <w:rsid w:val="00590032"/>
    <w:rsid w:val="005A6A98"/>
    <w:rsid w:val="005C7AD9"/>
    <w:rsid w:val="005D4735"/>
    <w:rsid w:val="005D4FC8"/>
    <w:rsid w:val="005E0DE7"/>
    <w:rsid w:val="005E424B"/>
    <w:rsid w:val="005F5909"/>
    <w:rsid w:val="00600DB4"/>
    <w:rsid w:val="00602B69"/>
    <w:rsid w:val="006242EC"/>
    <w:rsid w:val="0063437C"/>
    <w:rsid w:val="0063517C"/>
    <w:rsid w:val="00635324"/>
    <w:rsid w:val="006445C6"/>
    <w:rsid w:val="0064637A"/>
    <w:rsid w:val="00652A6F"/>
    <w:rsid w:val="00661837"/>
    <w:rsid w:val="006621CC"/>
    <w:rsid w:val="00672A43"/>
    <w:rsid w:val="00673314"/>
    <w:rsid w:val="00675A89"/>
    <w:rsid w:val="00677E81"/>
    <w:rsid w:val="0068084C"/>
    <w:rsid w:val="00695BDB"/>
    <w:rsid w:val="00697062"/>
    <w:rsid w:val="006A34F1"/>
    <w:rsid w:val="006A3B16"/>
    <w:rsid w:val="006A4AD0"/>
    <w:rsid w:val="006A56FF"/>
    <w:rsid w:val="006C4793"/>
    <w:rsid w:val="006C58E3"/>
    <w:rsid w:val="006D1F30"/>
    <w:rsid w:val="006D4709"/>
    <w:rsid w:val="006E1C8C"/>
    <w:rsid w:val="006E31C0"/>
    <w:rsid w:val="006E55FF"/>
    <w:rsid w:val="007105F9"/>
    <w:rsid w:val="00725171"/>
    <w:rsid w:val="00726E91"/>
    <w:rsid w:val="00733407"/>
    <w:rsid w:val="00735F9F"/>
    <w:rsid w:val="007377B2"/>
    <w:rsid w:val="00747F35"/>
    <w:rsid w:val="007605EE"/>
    <w:rsid w:val="00761B67"/>
    <w:rsid w:val="007641DF"/>
    <w:rsid w:val="007643EB"/>
    <w:rsid w:val="00765EF3"/>
    <w:rsid w:val="0076718F"/>
    <w:rsid w:val="00772CDD"/>
    <w:rsid w:val="00774363"/>
    <w:rsid w:val="00777025"/>
    <w:rsid w:val="00790491"/>
    <w:rsid w:val="007A042A"/>
    <w:rsid w:val="007A087D"/>
    <w:rsid w:val="007A261A"/>
    <w:rsid w:val="007A4925"/>
    <w:rsid w:val="007B59AB"/>
    <w:rsid w:val="007B6F15"/>
    <w:rsid w:val="007C1E77"/>
    <w:rsid w:val="007C23D7"/>
    <w:rsid w:val="007C7068"/>
    <w:rsid w:val="007E1E49"/>
    <w:rsid w:val="007E58D1"/>
    <w:rsid w:val="007F29CB"/>
    <w:rsid w:val="00800BAB"/>
    <w:rsid w:val="00803E88"/>
    <w:rsid w:val="0081256C"/>
    <w:rsid w:val="00826A47"/>
    <w:rsid w:val="00832038"/>
    <w:rsid w:val="00833F1F"/>
    <w:rsid w:val="00835F65"/>
    <w:rsid w:val="00840047"/>
    <w:rsid w:val="008447C6"/>
    <w:rsid w:val="00854572"/>
    <w:rsid w:val="00857ECD"/>
    <w:rsid w:val="00862CE8"/>
    <w:rsid w:val="00865C1F"/>
    <w:rsid w:val="00873532"/>
    <w:rsid w:val="00887BE7"/>
    <w:rsid w:val="00890CE6"/>
    <w:rsid w:val="0089212E"/>
    <w:rsid w:val="00895245"/>
    <w:rsid w:val="008A03C0"/>
    <w:rsid w:val="008B0625"/>
    <w:rsid w:val="008B2ACE"/>
    <w:rsid w:val="008B5643"/>
    <w:rsid w:val="008B7258"/>
    <w:rsid w:val="008B7E3E"/>
    <w:rsid w:val="008C7033"/>
    <w:rsid w:val="008D6126"/>
    <w:rsid w:val="008D7AC3"/>
    <w:rsid w:val="008F0D52"/>
    <w:rsid w:val="008F1BAD"/>
    <w:rsid w:val="00900C32"/>
    <w:rsid w:val="00902DC2"/>
    <w:rsid w:val="00905005"/>
    <w:rsid w:val="00915074"/>
    <w:rsid w:val="0092131F"/>
    <w:rsid w:val="0092358D"/>
    <w:rsid w:val="00925AF8"/>
    <w:rsid w:val="00926574"/>
    <w:rsid w:val="00933EC7"/>
    <w:rsid w:val="00936A8D"/>
    <w:rsid w:val="0094172E"/>
    <w:rsid w:val="009422D7"/>
    <w:rsid w:val="0095023E"/>
    <w:rsid w:val="00954C0D"/>
    <w:rsid w:val="0095510D"/>
    <w:rsid w:val="0097169C"/>
    <w:rsid w:val="00973D25"/>
    <w:rsid w:val="009743E5"/>
    <w:rsid w:val="00981837"/>
    <w:rsid w:val="009A7344"/>
    <w:rsid w:val="009B392E"/>
    <w:rsid w:val="009B4BEF"/>
    <w:rsid w:val="009B51BE"/>
    <w:rsid w:val="009C6C71"/>
    <w:rsid w:val="009D02CC"/>
    <w:rsid w:val="009D1163"/>
    <w:rsid w:val="009D12A7"/>
    <w:rsid w:val="009D27F5"/>
    <w:rsid w:val="009D562C"/>
    <w:rsid w:val="009E3189"/>
    <w:rsid w:val="009F5308"/>
    <w:rsid w:val="00A02BFB"/>
    <w:rsid w:val="00A04BA1"/>
    <w:rsid w:val="00A07E6E"/>
    <w:rsid w:val="00A138F0"/>
    <w:rsid w:val="00A17958"/>
    <w:rsid w:val="00A20DA6"/>
    <w:rsid w:val="00A23230"/>
    <w:rsid w:val="00A23D77"/>
    <w:rsid w:val="00A31CB1"/>
    <w:rsid w:val="00A5043A"/>
    <w:rsid w:val="00A60900"/>
    <w:rsid w:val="00A64CDE"/>
    <w:rsid w:val="00A65F8A"/>
    <w:rsid w:val="00A76139"/>
    <w:rsid w:val="00A906A9"/>
    <w:rsid w:val="00A91387"/>
    <w:rsid w:val="00A93F2D"/>
    <w:rsid w:val="00A94E53"/>
    <w:rsid w:val="00AA3293"/>
    <w:rsid w:val="00AB2A9F"/>
    <w:rsid w:val="00AC0934"/>
    <w:rsid w:val="00AC1DAB"/>
    <w:rsid w:val="00AC77D4"/>
    <w:rsid w:val="00AD0480"/>
    <w:rsid w:val="00AD66E9"/>
    <w:rsid w:val="00AE58E8"/>
    <w:rsid w:val="00AE7ACF"/>
    <w:rsid w:val="00AF0643"/>
    <w:rsid w:val="00AF2C2A"/>
    <w:rsid w:val="00AF5658"/>
    <w:rsid w:val="00B00521"/>
    <w:rsid w:val="00B04C52"/>
    <w:rsid w:val="00B14BB1"/>
    <w:rsid w:val="00B23D1F"/>
    <w:rsid w:val="00B41CC2"/>
    <w:rsid w:val="00B42A9C"/>
    <w:rsid w:val="00B44DF3"/>
    <w:rsid w:val="00B456DE"/>
    <w:rsid w:val="00B45B4A"/>
    <w:rsid w:val="00B47D0F"/>
    <w:rsid w:val="00B50006"/>
    <w:rsid w:val="00B52283"/>
    <w:rsid w:val="00B562F1"/>
    <w:rsid w:val="00B614ED"/>
    <w:rsid w:val="00B61C59"/>
    <w:rsid w:val="00B6557F"/>
    <w:rsid w:val="00B82577"/>
    <w:rsid w:val="00B85902"/>
    <w:rsid w:val="00B95452"/>
    <w:rsid w:val="00BB0F4E"/>
    <w:rsid w:val="00BB0FB1"/>
    <w:rsid w:val="00BB1865"/>
    <w:rsid w:val="00BB65C1"/>
    <w:rsid w:val="00BC238A"/>
    <w:rsid w:val="00BD0071"/>
    <w:rsid w:val="00BD0E63"/>
    <w:rsid w:val="00BD5458"/>
    <w:rsid w:val="00BE4D6B"/>
    <w:rsid w:val="00BE6B30"/>
    <w:rsid w:val="00BF17B8"/>
    <w:rsid w:val="00BF18C4"/>
    <w:rsid w:val="00BF70E8"/>
    <w:rsid w:val="00C04C9A"/>
    <w:rsid w:val="00C1368A"/>
    <w:rsid w:val="00C1373B"/>
    <w:rsid w:val="00C3071E"/>
    <w:rsid w:val="00C3311E"/>
    <w:rsid w:val="00C33595"/>
    <w:rsid w:val="00C33DD0"/>
    <w:rsid w:val="00C40987"/>
    <w:rsid w:val="00C45463"/>
    <w:rsid w:val="00C473F4"/>
    <w:rsid w:val="00C51D3B"/>
    <w:rsid w:val="00C54555"/>
    <w:rsid w:val="00C67F4C"/>
    <w:rsid w:val="00C9734F"/>
    <w:rsid w:val="00CA3F98"/>
    <w:rsid w:val="00CA4021"/>
    <w:rsid w:val="00CB225A"/>
    <w:rsid w:val="00CB5610"/>
    <w:rsid w:val="00CC443A"/>
    <w:rsid w:val="00CD6CD2"/>
    <w:rsid w:val="00CD73BC"/>
    <w:rsid w:val="00CD7884"/>
    <w:rsid w:val="00CE38C0"/>
    <w:rsid w:val="00CE413C"/>
    <w:rsid w:val="00CE49D5"/>
    <w:rsid w:val="00CE76F2"/>
    <w:rsid w:val="00D0312E"/>
    <w:rsid w:val="00D05F60"/>
    <w:rsid w:val="00D062D3"/>
    <w:rsid w:val="00D11535"/>
    <w:rsid w:val="00D13B0F"/>
    <w:rsid w:val="00D217D9"/>
    <w:rsid w:val="00D534D0"/>
    <w:rsid w:val="00D55E9E"/>
    <w:rsid w:val="00D564CE"/>
    <w:rsid w:val="00D661E1"/>
    <w:rsid w:val="00D672CA"/>
    <w:rsid w:val="00D67B4C"/>
    <w:rsid w:val="00D76EEB"/>
    <w:rsid w:val="00D9383E"/>
    <w:rsid w:val="00DB62C0"/>
    <w:rsid w:val="00DC026B"/>
    <w:rsid w:val="00DC39A1"/>
    <w:rsid w:val="00DC511D"/>
    <w:rsid w:val="00DD46AE"/>
    <w:rsid w:val="00DD6582"/>
    <w:rsid w:val="00DD6DD9"/>
    <w:rsid w:val="00DE025C"/>
    <w:rsid w:val="00DE67C7"/>
    <w:rsid w:val="00DF05EA"/>
    <w:rsid w:val="00DF6D31"/>
    <w:rsid w:val="00E00061"/>
    <w:rsid w:val="00E00A57"/>
    <w:rsid w:val="00E01DE4"/>
    <w:rsid w:val="00E028AA"/>
    <w:rsid w:val="00E0718C"/>
    <w:rsid w:val="00E168B9"/>
    <w:rsid w:val="00E2094C"/>
    <w:rsid w:val="00E21111"/>
    <w:rsid w:val="00E22111"/>
    <w:rsid w:val="00E22FC8"/>
    <w:rsid w:val="00E23273"/>
    <w:rsid w:val="00E23A63"/>
    <w:rsid w:val="00E35F12"/>
    <w:rsid w:val="00E374AB"/>
    <w:rsid w:val="00E52E6F"/>
    <w:rsid w:val="00E623D6"/>
    <w:rsid w:val="00E74C95"/>
    <w:rsid w:val="00E77BFF"/>
    <w:rsid w:val="00E91ABE"/>
    <w:rsid w:val="00E96149"/>
    <w:rsid w:val="00EA03CF"/>
    <w:rsid w:val="00EB31E0"/>
    <w:rsid w:val="00EB32C7"/>
    <w:rsid w:val="00EB4CD6"/>
    <w:rsid w:val="00EB4D73"/>
    <w:rsid w:val="00ED16FD"/>
    <w:rsid w:val="00ED188F"/>
    <w:rsid w:val="00EE18A7"/>
    <w:rsid w:val="00EE301C"/>
    <w:rsid w:val="00EE58A1"/>
    <w:rsid w:val="00EF3AEC"/>
    <w:rsid w:val="00EF6744"/>
    <w:rsid w:val="00F1495E"/>
    <w:rsid w:val="00F165E6"/>
    <w:rsid w:val="00F211E8"/>
    <w:rsid w:val="00F27022"/>
    <w:rsid w:val="00F279F3"/>
    <w:rsid w:val="00F30916"/>
    <w:rsid w:val="00F31400"/>
    <w:rsid w:val="00F32E10"/>
    <w:rsid w:val="00F42EE7"/>
    <w:rsid w:val="00F51543"/>
    <w:rsid w:val="00F51649"/>
    <w:rsid w:val="00F54FBA"/>
    <w:rsid w:val="00F557A8"/>
    <w:rsid w:val="00F63503"/>
    <w:rsid w:val="00F73978"/>
    <w:rsid w:val="00F8457E"/>
    <w:rsid w:val="00F90DFE"/>
    <w:rsid w:val="00F95583"/>
    <w:rsid w:val="00F960CE"/>
    <w:rsid w:val="00FA06D6"/>
    <w:rsid w:val="00FA0886"/>
    <w:rsid w:val="00FA3154"/>
    <w:rsid w:val="00FA46BF"/>
    <w:rsid w:val="00FA5BF6"/>
    <w:rsid w:val="00FB1FF5"/>
    <w:rsid w:val="00FB24EC"/>
    <w:rsid w:val="00FC18FA"/>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341A8B"/>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styleId="NichtaufgelsteErwhnung">
    <w:name w:val="Unresolved Mention"/>
    <w:basedOn w:val="Absatz-Standardschriftart"/>
    <w:uiPriority w:val="99"/>
    <w:semiHidden/>
    <w:unhideWhenUsed/>
    <w:rsid w:val="0066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endt@soziologie.uni-siegen.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2765ED"/>
    <w:rsid w:val="003053B6"/>
    <w:rsid w:val="00347FAF"/>
    <w:rsid w:val="00357989"/>
    <w:rsid w:val="00443CAC"/>
    <w:rsid w:val="006D3C6C"/>
    <w:rsid w:val="008E32BE"/>
    <w:rsid w:val="009426AC"/>
    <w:rsid w:val="00975787"/>
    <w:rsid w:val="009D6E4F"/>
    <w:rsid w:val="00A43F81"/>
    <w:rsid w:val="00A70037"/>
    <w:rsid w:val="00B257AC"/>
    <w:rsid w:val="00BE138D"/>
    <w:rsid w:val="00C27EFE"/>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989"/>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18B7-FB18-4CD4-BD98-4492A4D4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110471</Words>
  <Characters>593233</Characters>
  <Application>Microsoft Office Word</Application>
  <DocSecurity>0</DocSecurity>
  <Lines>22816</Lines>
  <Paragraphs>16365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40</cp:revision>
  <cp:lastPrinted>2019-06-30T11:28:00Z</cp:lastPrinted>
  <dcterms:created xsi:type="dcterms:W3CDTF">2020-06-25T11:51:00Z</dcterms:created>
  <dcterms:modified xsi:type="dcterms:W3CDTF">2020-06-26T14:33:00Z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