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№3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«Циклические алгоритмы»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 w14:paraId="00000010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9">
      <w:pPr>
        <w:spacing w:after="0" w:line="360" w:lineRule="exac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A">
      <w:pPr>
        <w:pStyle w:val="BodyTextIndent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Индивидуальное задание №15</w:t>
      </w:r>
      <w:r>
        <w:t xml:space="preserve"> –</w:t>
      </w: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Найти все симметричные натуральные трехзначные числа. </w:t>
      </w:r>
      <w:r>
        <w:rPr>
          <w:sz w:val="28"/>
          <w:szCs w:val="28"/>
        </w:rPr>
        <w:t>Например</w:t>
      </w:r>
      <w:r>
        <w:rPr>
          <w:sz w:val="28"/>
          <w:szCs w:val="28"/>
        </w:rPr>
        <w:t>: 454, 222.</w:t>
      </w:r>
    </w:p>
    <w:p w14:paraId="0000002B">
      <w:pPr>
        <w:pStyle w:val="BodyTextIndent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-2) </w:t>
      </w:r>
      <w:r>
        <w:rPr>
          <w:rFonts w:ascii="Times New Roman" w:cs="Times New Roman" w:hAnsi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cs="Times New Roman" w:hAnsi="Times New Roman"/>
          <w:sz w:val="28"/>
          <w:szCs w:val="28"/>
        </w:rPr>
        <w:sym w:font="Symbol" w:char="f061"/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2C">
      <w:pPr>
        <w:pStyle w:val="BodyTextIndent"/>
        <w:ind w:left="0" w:right="0" w:firstLine="0"/>
        <w:rPr>
          <w:sz w:val="28"/>
          <w:szCs w:val="28"/>
        </w:rPr>
      </w:pPr>
      <w:r>
        <w:rPr>
          <w:rFonts w:ascii="Times New Roman" w:cs="Times New Roman" w:hAnsi="Times New Roman"/>
          <w:position w:val="-28"/>
          <w:sz w:val="28"/>
          <w:szCs w:val="28"/>
        </w:rPr>
        <w:drawing xmlns:mc="http://schemas.openxmlformats.org/markup-compatibility/2006">
          <wp:inline distT="0" distB="0" distL="0" distR="0">
            <wp:extent cx="2151380" cy="511810"/>
            <wp:effectExtent l="0" t="0" r="25400" b="25400"/>
            <wp:docPr id="208998957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3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511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00002D">
      <w:pPr>
        <w:rPr>
          <w:rFonts w:ascii="Cascadia Mono"/>
          <w:color w:val="808080"/>
          <w:sz w:val="19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32"/>
          <w:highlight w:val="white"/>
        </w:rPr>
        <w:t xml:space="preserve">1) 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&lt;iostream&gt;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i, first, third;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(i = 100; i &lt;= 999; i++)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first = i / 100;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third = i % 10;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(first == third)</w:t>
      </w:r>
    </w:p>
    <w:p w14:paraId="00000038">
      <w:pPr>
        <w:rPr>
          <w:rFonts w:ascii="Cascadia Mono"/>
          <w:color w:val="000000"/>
          <w:sz w:val="19"/>
          <w:highlight w:val="white"/>
        </w:rPr>
      </w:pPr>
    </w:p>
    <w:p w14:paraId="0000003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i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"\n"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3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3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3E">
      <w:r>
        <w:rPr>
          <w:rFonts w:ascii="Cascadia Mono"/>
          <w:color w:val="000000"/>
          <w:sz w:val="19"/>
          <w:highlight w:val="white"/>
        </w:rPr>
        <w:t>}</w:t>
      </w:r>
    </w:p>
    <w:p w14:paraId="0000003F">
      <w:pPr>
        <w:spacing w:after="0"/>
        <w:jc w:val="center"/>
        <w:rPr/>
      </w:pPr>
      <w:r>
        <w:rPr/>
        <w:drawing xmlns:mc="http://schemas.openxmlformats.org/markup-compatibility/2006">
          <wp:inline distT="0" distB="0" distL="0" distR="0">
            <wp:extent cx="866140" cy="6025515"/>
            <wp:effectExtent l="0" t="0" r="0" b="0"/>
            <wp:docPr id="2089989577" name="Picture 2089989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4" name="Picture 2089989564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1328420" cy="6009640"/>
            <wp:effectExtent l="0" t="0" r="0" b="0"/>
            <wp:docPr id="2089989578" name="Picture 20899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5" name="Picture 2089989565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1222375" cy="6026150"/>
            <wp:effectExtent l="0" t="0" r="0" b="0"/>
            <wp:docPr id="2089989579" name="Picture 2089989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6" name="Picture 2089989566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942975" cy="2454275"/>
            <wp:effectExtent l="0" t="0" r="0" b="0"/>
            <wp:docPr id="2089989580" name="Picture 208998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7" name="Picture 2089989567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 w14:paraId="00000041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42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2)</w:t>
      </w:r>
    </w:p>
    <w:p w14:paraId="0000004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4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&lt;math.h&gt;</w:t>
      </w:r>
    </w:p>
    <w:p w14:paraId="0000004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sum, n = 0, k;</w:t>
      </w:r>
    </w:p>
    <w:p w14:paraId="0000004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4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4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4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</w:p>
    <w:p w14:paraId="0000004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while</w:t>
      </w:r>
      <w:r>
        <w:rPr>
          <w:rFonts w:ascii="Cascadia Mono"/>
          <w:color w:val="000000"/>
          <w:sz w:val="19"/>
          <w:highlight w:val="white"/>
        </w:rPr>
        <w:t xml:space="preserve"> (n &lt; </w:t>
      </w:r>
      <w:r>
        <w:rPr>
          <w:rFonts w:ascii="Cascadia Mono"/>
          <w:color w:val="6f008a"/>
          <w:sz w:val="19"/>
          <w:highlight w:val="white"/>
        </w:rPr>
        <w:t>INFINITY</w:t>
      </w:r>
      <w:r>
        <w:rPr>
          <w:rFonts w:ascii="Cascadia Mono"/>
          <w:color w:val="000000"/>
          <w:sz w:val="19"/>
          <w:highlight w:val="white"/>
        </w:rPr>
        <w:t>)</w:t>
      </w:r>
    </w:p>
    <w:p w14:paraId="0000004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4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k = pow(-1, n) * (1 / (3 * n + 1));</w:t>
      </w:r>
    </w:p>
    <w:p w14:paraId="0000004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(k &lt; 0.01 </w:t>
      </w:r>
      <w:r>
        <w:rPr>
          <w:rFonts w:ascii="Cascadia Mono"/>
          <w:color w:val="0000ff"/>
          <w:sz w:val="19"/>
          <w:highlight w:val="white"/>
        </w:rPr>
        <w:t>and</w:t>
      </w:r>
      <w:r>
        <w:rPr>
          <w:rFonts w:ascii="Cascadia Mono"/>
          <w:color w:val="000000"/>
          <w:sz w:val="19"/>
          <w:highlight w:val="white"/>
        </w:rPr>
        <w:t xml:space="preserve"> k &gt; 0)</w:t>
      </w:r>
    </w:p>
    <w:p w14:paraId="0000004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4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5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5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(k &gt; -0.01 </w:t>
      </w:r>
      <w:r>
        <w:rPr>
          <w:rFonts w:ascii="Cascadia Mono"/>
          <w:color w:val="0000ff"/>
          <w:sz w:val="19"/>
          <w:highlight w:val="white"/>
        </w:rPr>
        <w:t>and</w:t>
      </w:r>
      <w:r>
        <w:rPr>
          <w:rFonts w:ascii="Cascadia Mono"/>
          <w:color w:val="000000"/>
          <w:sz w:val="19"/>
          <w:highlight w:val="white"/>
        </w:rPr>
        <w:t xml:space="preserve"> k &lt; 0)</w:t>
      </w:r>
    </w:p>
    <w:p w14:paraId="0000005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5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5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5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sum += k;  </w:t>
      </w:r>
      <w:r>
        <w:rPr>
          <w:rFonts w:ascii="Cascadia Mono"/>
          <w:color w:val="008000"/>
          <w:sz w:val="19"/>
          <w:highlight w:val="white"/>
        </w:rPr>
        <w:t>//sum= sum+k;</w:t>
      </w:r>
    </w:p>
    <w:p w14:paraId="0000005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n++;</w:t>
      </w:r>
    </w:p>
    <w:p w14:paraId="0000005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5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sum;</w:t>
      </w:r>
    </w:p>
    <w:p w14:paraId="00000059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 w14:paraId="0000005A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113780" cy="1559560"/>
            <wp:effectExtent l="0" t="0" r="0" b="0"/>
            <wp:docPr id="2089989581" name="Picture 208998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8" name="Picture 2089989568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2 – Результат выполнения программы</w:t>
      </w:r>
    </w:p>
    <w:p w14:paraId="0000005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5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5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5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A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B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Блок-схема 1:</w:t>
      </w:r>
    </w:p>
    <w:p w14:paraId="00000070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>
            <wp:extent cx="2830195" cy="5055235"/>
            <wp:effectExtent l="0" t="0" r="0" b="0"/>
            <wp:docPr id="2089989582" name="Picture 208998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A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B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3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Блок-схема 2:</w:t>
      </w:r>
    </w:p>
    <w:p w14:paraId="00000084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drawing xmlns:mc="http://schemas.openxmlformats.org/markup-compatibility/2006">
          <wp:inline>
            <wp:extent cx="3205480" cy="7661910"/>
            <wp:effectExtent l="0" t="0" r="0" b="0"/>
            <wp:docPr id="2089989583" name="Picture 208998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7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8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9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A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B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0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1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2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3"/>
    <w:sectPr>
      <w:headerReference w:type="default" r:id="rId33"/>
      <w:footerReference w:type="default" r:id="rId34"/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5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4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settings" Target="settings.xml"/><Relationship Id="rId25" Type="http://schemas.openxmlformats.org/officeDocument/2006/relationships/image" Target="media/image2.wmf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